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ind w:left="0" w:leftChars="0" w:firstLine="0" w:firstLineChars="0"/>
        <w:rPr>
          <w:rFonts w:hint="eastAsia"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eastAsia="zh-CN"/>
        </w:rPr>
        <w:t>附件</w:t>
      </w:r>
      <w:r>
        <w:rPr>
          <w:rFonts w:hint="eastAsia" w:ascii="黑体" w:hAnsi="黑体" w:eastAsia="黑体" w:cs="黑体"/>
          <w:color w:val="auto"/>
          <w:sz w:val="32"/>
          <w:szCs w:val="32"/>
          <w:lang w:val="en-US" w:eastAsia="zh-CN"/>
        </w:rPr>
        <w:t>1：</w:t>
      </w:r>
    </w:p>
    <w:p>
      <w:pPr>
        <w:pStyle w:val="4"/>
        <w:ind w:left="0" w:leftChars="0" w:firstLine="0" w:firstLineChars="0"/>
        <w:jc w:val="center"/>
        <w:rPr>
          <w:rFonts w:hint="eastAsia" w:ascii="方正小标宋简体" w:hAnsi="方正小标宋简体" w:eastAsia="方正小标宋简体" w:cs="方正小标宋简体"/>
          <w:color w:val="auto"/>
          <w:sz w:val="44"/>
          <w:szCs w:val="44"/>
          <w:lang w:eastAsia="zh-CN"/>
        </w:rPr>
      </w:pPr>
      <w:r>
        <w:rPr>
          <w:rFonts w:hint="eastAsia" w:ascii="方正小标宋简体" w:hAnsi="方正小标宋简体" w:eastAsia="方正小标宋简体" w:cs="方正小标宋简体"/>
          <w:color w:val="auto"/>
          <w:sz w:val="44"/>
          <w:szCs w:val="44"/>
          <w:lang w:val="en-US" w:eastAsia="zh-CN"/>
        </w:rPr>
        <w:t>采购方案</w:t>
      </w:r>
    </w:p>
    <w:p>
      <w:pPr>
        <w:keepNext w:val="0"/>
        <w:keepLines w:val="0"/>
        <w:pageBreakBefore w:val="0"/>
        <w:kinsoku/>
        <w:wordWrap/>
        <w:overflowPunct/>
        <w:topLinePunct w:val="0"/>
        <w:autoSpaceDE/>
        <w:autoSpaceDN/>
        <w:bidi w:val="0"/>
        <w:spacing w:beforeAutospacing="0" w:afterAutospacing="0" w:line="600" w:lineRule="exact"/>
        <w:ind w:firstLine="643" w:firstLineChars="200"/>
        <w:jc w:val="both"/>
        <w:textAlignment w:val="auto"/>
        <w:rPr>
          <w:rStyle w:val="11"/>
          <w:rFonts w:hint="eastAsia" w:ascii="黑体" w:hAnsi="黑体" w:eastAsia="黑体" w:cs="黑体"/>
          <w:b w:val="0"/>
          <w:bCs w:val="0"/>
          <w:color w:val="auto"/>
          <w:sz w:val="32"/>
          <w:szCs w:val="32"/>
        </w:rPr>
      </w:pPr>
      <w:r>
        <w:rPr>
          <w:rFonts w:hint="eastAsia" w:ascii="仿宋_GB2312" w:hAnsi="仿宋_GB2312" w:eastAsia="仿宋_GB2312" w:cs="仿宋_GB2312"/>
          <w:b/>
          <w:bCs/>
          <w:color w:val="auto"/>
          <w:sz w:val="32"/>
          <w:szCs w:val="32"/>
        </w:rPr>
        <w:t xml:space="preserve"> </w:t>
      </w:r>
      <w:r>
        <w:rPr>
          <w:rStyle w:val="11"/>
          <w:rFonts w:hint="eastAsia" w:ascii="黑体" w:hAnsi="黑体" w:eastAsia="黑体" w:cs="黑体"/>
          <w:b w:val="0"/>
          <w:bCs w:val="0"/>
          <w:color w:val="auto"/>
          <w:sz w:val="32"/>
          <w:szCs w:val="32"/>
        </w:rPr>
        <w:t>一、项目概述</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bCs/>
          <w:color w:val="auto"/>
          <w:sz w:val="32"/>
          <w:szCs w:val="32"/>
        </w:rPr>
      </w:pPr>
      <w:r>
        <w:rPr>
          <w:rFonts w:hint="eastAsia" w:ascii="仿宋_GB2312" w:hAnsi="仿宋_GB2312" w:eastAsia="仿宋_GB2312" w:cs="仿宋_GB2312"/>
          <w:color w:val="auto"/>
          <w:sz w:val="32"/>
          <w:szCs w:val="32"/>
          <w:lang w:val="en-US" w:eastAsia="zh-CN"/>
        </w:rPr>
        <w:t>为进一步做好贵阳市</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Y</w:t>
      </w:r>
      <w:r>
        <w:rPr>
          <w:rFonts w:hint="eastAsia" w:ascii="仿宋_GB2312" w:hAnsi="仿宋_GB2312" w:eastAsia="仿宋_GB2312" w:cs="仿宋_GB2312"/>
          <w:color w:val="auto"/>
          <w:sz w:val="32"/>
          <w:szCs w:val="32"/>
          <w:vertAlign w:val="superscript"/>
        </w:rPr>
        <w:t>+</w:t>
      </w:r>
      <w:r>
        <w:rPr>
          <w:rFonts w:hint="eastAsia" w:ascii="仿宋_GB2312" w:hAnsi="仿宋_GB2312" w:eastAsia="仿宋_GB2312" w:cs="仿宋_GB2312"/>
          <w:color w:val="auto"/>
          <w:sz w:val="32"/>
          <w:szCs w:val="32"/>
          <w:lang w:eastAsia="zh-CN"/>
        </w:rPr>
        <w:t>青年之家”</w:t>
      </w:r>
      <w:r>
        <w:rPr>
          <w:rFonts w:hint="eastAsia" w:ascii="仿宋_GB2312" w:hAnsi="仿宋_GB2312" w:eastAsia="仿宋_GB2312" w:cs="仿宋_GB2312"/>
          <w:color w:val="auto"/>
          <w:sz w:val="32"/>
          <w:szCs w:val="32"/>
          <w:lang w:val="en-US" w:eastAsia="zh-CN"/>
        </w:rPr>
        <w:t>工作的宣传推广工作，扩大</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Y</w:t>
      </w:r>
      <w:r>
        <w:rPr>
          <w:rFonts w:hint="eastAsia" w:ascii="仿宋_GB2312" w:hAnsi="仿宋_GB2312" w:eastAsia="仿宋_GB2312" w:cs="仿宋_GB2312"/>
          <w:color w:val="auto"/>
          <w:sz w:val="32"/>
          <w:szCs w:val="32"/>
          <w:vertAlign w:val="superscript"/>
        </w:rPr>
        <w:t>+</w:t>
      </w:r>
      <w:r>
        <w:rPr>
          <w:rFonts w:hint="eastAsia" w:ascii="仿宋_GB2312" w:hAnsi="仿宋_GB2312" w:eastAsia="仿宋_GB2312" w:cs="仿宋_GB2312"/>
          <w:color w:val="auto"/>
          <w:sz w:val="32"/>
          <w:szCs w:val="32"/>
          <w:lang w:eastAsia="zh-CN"/>
        </w:rPr>
        <w:t>青年之家”</w:t>
      </w:r>
      <w:r>
        <w:rPr>
          <w:rFonts w:hint="eastAsia" w:ascii="仿宋_GB2312" w:hAnsi="仿宋_GB2312" w:eastAsia="仿宋_GB2312" w:cs="仿宋_GB2312"/>
          <w:color w:val="auto"/>
          <w:sz w:val="32"/>
          <w:szCs w:val="32"/>
          <w:lang w:val="en-US" w:eastAsia="zh-CN"/>
        </w:rPr>
        <w:t>的知晓率、传播力、影响力，共青团贵阳市委拟</w:t>
      </w:r>
      <w:r>
        <w:rPr>
          <w:rFonts w:hint="eastAsia" w:ascii="仿宋_GB2312" w:hAnsi="仿宋_GB2312" w:eastAsia="仿宋_GB2312" w:cs="仿宋_GB2312"/>
          <w:color w:val="auto"/>
          <w:sz w:val="32"/>
          <w:szCs w:val="32"/>
          <w:shd w:val="clear" w:color="auto" w:fill="FFFFFF"/>
          <w:lang w:val="en-US" w:eastAsia="zh-CN"/>
        </w:rPr>
        <w:t>针对青年喜好，设计制作形象活泼、实用性强的周边衍生文创产品，在文创产品上印制宣传语和相关宣传内容，利用数博会、生态文明贵阳会议、人才博览会等重要活动，以及五四、国庆等重要时间节点，结合网络留言、积分兑换等线上推广方式向青年发放，提升贵阳市</w:t>
      </w:r>
      <w:r>
        <w:rPr>
          <w:rStyle w:val="12"/>
          <w:rFonts w:hint="eastAsia" w:ascii="仿宋_GB2312" w:hAnsi="仿宋_GB2312" w:eastAsia="仿宋_GB2312" w:cs="仿宋_GB2312"/>
          <w:color w:val="auto"/>
          <w:kern w:val="2"/>
          <w:sz w:val="32"/>
          <w:szCs w:val="32"/>
          <w:lang w:val="en-US" w:eastAsia="zh-CN" w:bidi="ar-SA"/>
        </w:rPr>
        <w:t>“Y</w:t>
      </w:r>
      <w:r>
        <w:rPr>
          <w:rStyle w:val="12"/>
          <w:rFonts w:hint="eastAsia" w:ascii="仿宋_GB2312" w:hAnsi="仿宋_GB2312" w:eastAsia="仿宋_GB2312" w:cs="仿宋_GB2312"/>
          <w:color w:val="auto"/>
          <w:kern w:val="2"/>
          <w:sz w:val="32"/>
          <w:szCs w:val="32"/>
          <w:vertAlign w:val="superscript"/>
          <w:lang w:val="en-US" w:eastAsia="zh-CN" w:bidi="ar-SA"/>
        </w:rPr>
        <w:t>+</w:t>
      </w:r>
      <w:r>
        <w:rPr>
          <w:rStyle w:val="12"/>
          <w:rFonts w:hint="eastAsia" w:ascii="仿宋_GB2312" w:hAnsi="仿宋_GB2312" w:eastAsia="仿宋_GB2312" w:cs="仿宋_GB2312"/>
          <w:color w:val="auto"/>
          <w:kern w:val="2"/>
          <w:sz w:val="32"/>
          <w:szCs w:val="32"/>
          <w:lang w:val="en-US" w:eastAsia="zh-CN" w:bidi="ar-SA"/>
        </w:rPr>
        <w:t>青年之家”</w:t>
      </w:r>
      <w:r>
        <w:rPr>
          <w:rFonts w:hint="eastAsia" w:ascii="仿宋_GB2312" w:hAnsi="仿宋_GB2312" w:eastAsia="仿宋_GB2312" w:cs="仿宋_GB2312"/>
          <w:color w:val="auto"/>
          <w:sz w:val="32"/>
          <w:szCs w:val="32"/>
          <w:shd w:val="clear" w:color="auto" w:fill="FFFFFF"/>
          <w:lang w:val="en-US" w:eastAsia="zh-CN"/>
        </w:rPr>
        <w:t>的宣传推广效果。</w:t>
      </w:r>
    </w:p>
    <w:p>
      <w:pPr>
        <w:keepNext w:val="0"/>
        <w:keepLines w:val="0"/>
        <w:pageBreakBefore w:val="0"/>
        <w:kinsoku/>
        <w:wordWrap/>
        <w:overflowPunct/>
        <w:topLinePunct w:val="0"/>
        <w:autoSpaceDE/>
        <w:autoSpaceDN/>
        <w:bidi w:val="0"/>
        <w:spacing w:beforeAutospacing="0" w:afterAutospacing="0" w:line="600" w:lineRule="exact"/>
        <w:ind w:firstLine="640" w:firstLineChars="200"/>
        <w:jc w:val="both"/>
        <w:textAlignment w:val="auto"/>
        <w:rPr>
          <w:rFonts w:hint="eastAsia" w:ascii="黑体" w:hAnsi="黑体" w:eastAsia="黑体" w:cs="黑体"/>
          <w:b w:val="0"/>
          <w:bCs/>
          <w:color w:val="auto"/>
          <w:sz w:val="32"/>
          <w:szCs w:val="32"/>
        </w:rPr>
      </w:pPr>
      <w:r>
        <w:rPr>
          <w:rStyle w:val="11"/>
          <w:rFonts w:hint="eastAsia" w:ascii="黑体" w:hAnsi="黑体" w:eastAsia="黑体" w:cs="黑体"/>
          <w:b w:val="0"/>
          <w:bCs/>
          <w:color w:val="auto"/>
          <w:sz w:val="32"/>
          <w:szCs w:val="32"/>
        </w:rPr>
        <w:t>二、采购清单及</w:t>
      </w:r>
      <w:r>
        <w:rPr>
          <w:rStyle w:val="11"/>
          <w:rFonts w:hint="eastAsia" w:ascii="黑体" w:hAnsi="黑体" w:eastAsia="黑体" w:cs="黑体"/>
          <w:b w:val="0"/>
          <w:bCs/>
          <w:color w:val="auto"/>
          <w:sz w:val="32"/>
          <w:szCs w:val="32"/>
          <w:lang w:val="en-US" w:eastAsia="zh-CN"/>
        </w:rPr>
        <w:t>制作</w:t>
      </w:r>
      <w:r>
        <w:rPr>
          <w:rStyle w:val="11"/>
          <w:rFonts w:hint="eastAsia" w:ascii="黑体" w:hAnsi="黑体" w:eastAsia="黑体" w:cs="黑体"/>
          <w:b w:val="0"/>
          <w:bCs/>
          <w:color w:val="auto"/>
          <w:sz w:val="32"/>
          <w:szCs w:val="32"/>
        </w:rPr>
        <w:t>要求</w:t>
      </w:r>
    </w:p>
    <w:p>
      <w:pPr>
        <w:pStyle w:val="5"/>
        <w:keepNext w:val="0"/>
        <w:keepLines w:val="0"/>
        <w:pageBreakBefore w:val="0"/>
        <w:tabs>
          <w:tab w:val="left" w:pos="1848"/>
          <w:tab w:val="left" w:pos="2940"/>
        </w:tabs>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1.采购物品清单</w:t>
      </w:r>
    </w:p>
    <w:tbl>
      <w:tblPr>
        <w:tblStyle w:val="9"/>
        <w:tblW w:w="4999" w:type="pct"/>
        <w:jc w:val="center"/>
        <w:tblLayout w:type="autofit"/>
        <w:tblCellMar>
          <w:top w:w="0" w:type="dxa"/>
          <w:left w:w="108" w:type="dxa"/>
          <w:bottom w:w="0" w:type="dxa"/>
          <w:right w:w="108" w:type="dxa"/>
        </w:tblCellMar>
      </w:tblPr>
      <w:tblGrid>
        <w:gridCol w:w="856"/>
        <w:gridCol w:w="3928"/>
        <w:gridCol w:w="4275"/>
      </w:tblGrid>
      <w:tr>
        <w:tblPrEx>
          <w:tblCellMar>
            <w:top w:w="0" w:type="dxa"/>
            <w:left w:w="108" w:type="dxa"/>
            <w:bottom w:w="0" w:type="dxa"/>
            <w:right w:w="108" w:type="dxa"/>
          </w:tblCellMar>
        </w:tblPrEx>
        <w:trPr>
          <w:trHeight w:val="555" w:hRule="atLeast"/>
          <w:jc w:val="center"/>
        </w:trPr>
        <w:tc>
          <w:tcPr>
            <w:tcW w:w="464"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lang w:eastAsia="zh-CN"/>
              </w:rPr>
              <w:t>序号</w:t>
            </w:r>
          </w:p>
        </w:tc>
        <w:tc>
          <w:tcPr>
            <w:tcW w:w="217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项目</w:t>
            </w:r>
          </w:p>
        </w:tc>
        <w:tc>
          <w:tcPr>
            <w:tcW w:w="2363"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val="en-US" w:eastAsia="zh-CN"/>
              </w:rPr>
              <w:t>数量</w:t>
            </w:r>
          </w:p>
        </w:tc>
      </w:tr>
      <w:tr>
        <w:tblPrEx>
          <w:tblCellMar>
            <w:top w:w="0" w:type="dxa"/>
            <w:left w:w="108" w:type="dxa"/>
            <w:bottom w:w="0" w:type="dxa"/>
            <w:right w:w="108" w:type="dxa"/>
          </w:tblCellMar>
        </w:tblPrEx>
        <w:trPr>
          <w:trHeight w:val="555" w:hRule="atLeast"/>
          <w:jc w:val="center"/>
        </w:trPr>
        <w:tc>
          <w:tcPr>
            <w:tcW w:w="464"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1</w:t>
            </w:r>
          </w:p>
        </w:tc>
        <w:tc>
          <w:tcPr>
            <w:tcW w:w="2172"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lang w:val="en-US" w:eastAsia="zh-CN"/>
              </w:rPr>
              <w:t>定制</w:t>
            </w:r>
            <w:r>
              <w:rPr>
                <w:rFonts w:hint="eastAsia" w:ascii="仿宋_GB2312" w:hAnsi="仿宋_GB2312" w:eastAsia="仿宋_GB2312" w:cs="仿宋_GB2312"/>
                <w:b w:val="0"/>
                <w:bCs w:val="0"/>
                <w:color w:val="auto"/>
                <w:sz w:val="32"/>
                <w:szCs w:val="32"/>
              </w:rPr>
              <w:t>笔记本</w:t>
            </w:r>
          </w:p>
        </w:tc>
        <w:tc>
          <w:tcPr>
            <w:tcW w:w="2363"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2500</w:t>
            </w:r>
            <w:r>
              <w:rPr>
                <w:rFonts w:hint="eastAsia" w:ascii="仿宋_GB2312" w:hAnsi="仿宋_GB2312" w:eastAsia="仿宋_GB2312" w:cs="仿宋_GB2312"/>
                <w:b w:val="0"/>
                <w:bCs w:val="0"/>
                <w:color w:val="auto"/>
                <w:sz w:val="32"/>
                <w:szCs w:val="32"/>
                <w:lang w:eastAsia="zh-CN"/>
              </w:rPr>
              <w:t>套</w:t>
            </w:r>
          </w:p>
        </w:tc>
      </w:tr>
      <w:tr>
        <w:tblPrEx>
          <w:tblCellMar>
            <w:top w:w="0" w:type="dxa"/>
            <w:left w:w="108" w:type="dxa"/>
            <w:bottom w:w="0" w:type="dxa"/>
            <w:right w:w="108" w:type="dxa"/>
          </w:tblCellMar>
        </w:tblPrEx>
        <w:trPr>
          <w:trHeight w:val="499" w:hRule="atLeast"/>
          <w:jc w:val="center"/>
        </w:trPr>
        <w:tc>
          <w:tcPr>
            <w:tcW w:w="464" w:type="pct"/>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2</w:t>
            </w:r>
          </w:p>
        </w:tc>
        <w:tc>
          <w:tcPr>
            <w:tcW w:w="2172" w:type="pct"/>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lang w:val="en-US" w:eastAsia="zh-CN"/>
              </w:rPr>
              <w:t>定制</w:t>
            </w:r>
            <w:r>
              <w:rPr>
                <w:rFonts w:hint="eastAsia" w:ascii="仿宋_GB2312" w:hAnsi="仿宋_GB2312" w:eastAsia="仿宋_GB2312" w:cs="仿宋_GB2312"/>
                <w:b w:val="0"/>
                <w:bCs w:val="0"/>
                <w:color w:val="auto"/>
                <w:sz w:val="32"/>
                <w:szCs w:val="32"/>
              </w:rPr>
              <w:t>帆布袋</w:t>
            </w:r>
          </w:p>
        </w:tc>
        <w:tc>
          <w:tcPr>
            <w:tcW w:w="2363" w:type="pct"/>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2500</w:t>
            </w:r>
            <w:r>
              <w:rPr>
                <w:rFonts w:hint="eastAsia" w:ascii="仿宋_GB2312" w:hAnsi="仿宋_GB2312" w:eastAsia="仿宋_GB2312" w:cs="仿宋_GB2312"/>
                <w:b w:val="0"/>
                <w:bCs w:val="0"/>
                <w:color w:val="auto"/>
                <w:sz w:val="32"/>
                <w:szCs w:val="32"/>
                <w:lang w:eastAsia="zh-CN"/>
              </w:rPr>
              <w:t>个</w:t>
            </w:r>
          </w:p>
        </w:tc>
      </w:tr>
      <w:tr>
        <w:tblPrEx>
          <w:tblCellMar>
            <w:top w:w="0" w:type="dxa"/>
            <w:left w:w="108" w:type="dxa"/>
            <w:bottom w:w="0" w:type="dxa"/>
            <w:right w:w="108" w:type="dxa"/>
          </w:tblCellMar>
        </w:tblPrEx>
        <w:trPr>
          <w:trHeight w:val="276" w:hRule="atLeast"/>
          <w:jc w:val="center"/>
        </w:trPr>
        <w:tc>
          <w:tcPr>
            <w:tcW w:w="464" w:type="pct"/>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3</w:t>
            </w:r>
          </w:p>
        </w:tc>
        <w:tc>
          <w:tcPr>
            <w:tcW w:w="2172" w:type="pct"/>
            <w:tcBorders>
              <w:top w:val="nil"/>
              <w:left w:val="nil"/>
              <w:bottom w:val="single" w:color="auto" w:sz="4" w:space="0"/>
              <w:right w:val="single" w:color="auto" w:sz="4" w:space="0"/>
            </w:tcBorders>
            <w:noWrap/>
            <w:vAlign w:val="center"/>
          </w:tcPr>
          <w:p>
            <w:pPr>
              <w:keepNext w:val="0"/>
              <w:keepLines w:val="0"/>
              <w:pageBreakBefore w:val="0"/>
              <w:widowControl/>
              <w:tabs>
                <w:tab w:val="left" w:pos="1358"/>
                <w:tab w:val="center" w:pos="2236"/>
              </w:tabs>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荧光标记笔</w:t>
            </w:r>
          </w:p>
        </w:tc>
        <w:tc>
          <w:tcPr>
            <w:tcW w:w="2363" w:type="pct"/>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2000</w:t>
            </w:r>
            <w:r>
              <w:rPr>
                <w:rFonts w:hint="eastAsia" w:ascii="仿宋_GB2312" w:hAnsi="仿宋_GB2312" w:eastAsia="仿宋_GB2312" w:cs="仿宋_GB2312"/>
                <w:b w:val="0"/>
                <w:bCs w:val="0"/>
                <w:color w:val="auto"/>
                <w:sz w:val="32"/>
                <w:szCs w:val="32"/>
                <w:lang w:eastAsia="zh-CN"/>
              </w:rPr>
              <w:t>套</w:t>
            </w:r>
          </w:p>
        </w:tc>
      </w:tr>
      <w:tr>
        <w:tblPrEx>
          <w:tblCellMar>
            <w:top w:w="0" w:type="dxa"/>
            <w:left w:w="108" w:type="dxa"/>
            <w:bottom w:w="0" w:type="dxa"/>
            <w:right w:w="108" w:type="dxa"/>
          </w:tblCellMar>
        </w:tblPrEx>
        <w:trPr>
          <w:trHeight w:val="499" w:hRule="atLeast"/>
          <w:jc w:val="center"/>
        </w:trPr>
        <w:tc>
          <w:tcPr>
            <w:tcW w:w="464"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4</w:t>
            </w:r>
          </w:p>
        </w:tc>
        <w:tc>
          <w:tcPr>
            <w:tcW w:w="2172"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lang w:val="en-US" w:eastAsia="zh-CN"/>
              </w:rPr>
              <w:t>定制</w:t>
            </w:r>
            <w:r>
              <w:rPr>
                <w:rFonts w:hint="eastAsia" w:ascii="仿宋_GB2312" w:hAnsi="仿宋_GB2312" w:eastAsia="仿宋_GB2312" w:cs="仿宋_GB2312"/>
                <w:b w:val="0"/>
                <w:bCs w:val="0"/>
                <w:color w:val="auto"/>
                <w:sz w:val="32"/>
                <w:szCs w:val="32"/>
              </w:rPr>
              <w:t>保温杯</w:t>
            </w:r>
          </w:p>
        </w:tc>
        <w:tc>
          <w:tcPr>
            <w:tcW w:w="2363"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1000个</w:t>
            </w:r>
          </w:p>
        </w:tc>
      </w:tr>
      <w:tr>
        <w:tblPrEx>
          <w:tblCellMar>
            <w:top w:w="0" w:type="dxa"/>
            <w:left w:w="108" w:type="dxa"/>
            <w:bottom w:w="0" w:type="dxa"/>
            <w:right w:w="108" w:type="dxa"/>
          </w:tblCellMar>
        </w:tblPrEx>
        <w:trPr>
          <w:trHeight w:val="499" w:hRule="atLeast"/>
          <w:jc w:val="center"/>
        </w:trPr>
        <w:tc>
          <w:tcPr>
            <w:tcW w:w="464"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w:t>
            </w:r>
          </w:p>
        </w:tc>
        <w:tc>
          <w:tcPr>
            <w:tcW w:w="2172"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“Y</w:t>
            </w:r>
            <w:r>
              <w:rPr>
                <w:rFonts w:hint="eastAsia" w:ascii="仿宋_GB2312" w:hAnsi="仿宋_GB2312" w:eastAsia="仿宋_GB2312" w:cs="仿宋_GB2312"/>
                <w:b w:val="0"/>
                <w:bCs w:val="0"/>
                <w:color w:val="auto"/>
                <w:sz w:val="32"/>
                <w:szCs w:val="32"/>
                <w:vertAlign w:val="superscript"/>
              </w:rPr>
              <w:t>+</w:t>
            </w:r>
            <w:r>
              <w:rPr>
                <w:rFonts w:hint="eastAsia" w:ascii="仿宋_GB2312" w:hAnsi="仿宋_GB2312" w:eastAsia="仿宋_GB2312" w:cs="仿宋_GB2312"/>
                <w:b w:val="0"/>
                <w:bCs w:val="0"/>
                <w:color w:val="auto"/>
                <w:sz w:val="32"/>
                <w:szCs w:val="32"/>
              </w:rPr>
              <w:t>”装饰牌</w:t>
            </w:r>
          </w:p>
        </w:tc>
        <w:tc>
          <w:tcPr>
            <w:tcW w:w="2363"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150块</w:t>
            </w:r>
          </w:p>
        </w:tc>
      </w:tr>
      <w:tr>
        <w:tblPrEx>
          <w:tblCellMar>
            <w:top w:w="0" w:type="dxa"/>
            <w:left w:w="108" w:type="dxa"/>
            <w:bottom w:w="0" w:type="dxa"/>
            <w:right w:w="108" w:type="dxa"/>
          </w:tblCellMar>
        </w:tblPrEx>
        <w:trPr>
          <w:trHeight w:val="499" w:hRule="atLeast"/>
          <w:jc w:val="center"/>
        </w:trPr>
        <w:tc>
          <w:tcPr>
            <w:tcW w:w="464"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w:t>
            </w:r>
          </w:p>
        </w:tc>
        <w:tc>
          <w:tcPr>
            <w:tcW w:w="2172"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lang w:val="en-US" w:eastAsia="zh-CN"/>
              </w:rPr>
              <w:t>定制</w:t>
            </w:r>
            <w:r>
              <w:rPr>
                <w:rFonts w:hint="eastAsia" w:ascii="仿宋_GB2312" w:hAnsi="仿宋_GB2312" w:eastAsia="仿宋_GB2312" w:cs="仿宋_GB2312"/>
                <w:b w:val="0"/>
                <w:bCs w:val="0"/>
                <w:color w:val="auto"/>
                <w:sz w:val="32"/>
                <w:szCs w:val="32"/>
              </w:rPr>
              <w:t>宣传册</w:t>
            </w:r>
          </w:p>
        </w:tc>
        <w:tc>
          <w:tcPr>
            <w:tcW w:w="2363"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10000册</w:t>
            </w:r>
          </w:p>
        </w:tc>
      </w:tr>
    </w:tbl>
    <w:p>
      <w:pPr>
        <w:pStyle w:val="5"/>
        <w:keepNext w:val="0"/>
        <w:keepLines w:val="0"/>
        <w:pageBreakBefore w:val="0"/>
        <w:tabs>
          <w:tab w:val="left" w:pos="1848"/>
          <w:tab w:val="left" w:pos="2940"/>
        </w:tabs>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2.制作要求</w:t>
      </w:r>
    </w:p>
    <w:p>
      <w:pPr>
        <w:pStyle w:val="5"/>
        <w:keepNext w:val="0"/>
        <w:keepLines w:val="0"/>
        <w:pageBreakBefore w:val="0"/>
        <w:tabs>
          <w:tab w:val="left" w:pos="1848"/>
          <w:tab w:val="left" w:pos="2940"/>
        </w:tabs>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（1）定制笔记本：加厚道林纸张，软皮封面，定制LOGO,印制宣传教育钢笔水彩手绘原创插画及设计。</w:t>
      </w:r>
    </w:p>
    <w:p>
      <w:pPr>
        <w:pStyle w:val="5"/>
        <w:keepNext w:val="0"/>
        <w:keepLines w:val="0"/>
        <w:pageBreakBefore w:val="0"/>
        <w:tabs>
          <w:tab w:val="left" w:pos="1848"/>
          <w:tab w:val="left" w:pos="2940"/>
        </w:tabs>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（2）定制帆布袋：定制LOGO,帆布袋材质：亚麻材质UV热转印，印制宣传教育钢笔水彩手绘原创画面及设计，45cmx35cm。</w:t>
      </w:r>
    </w:p>
    <w:p>
      <w:pPr>
        <w:pStyle w:val="5"/>
        <w:keepNext w:val="0"/>
        <w:keepLines w:val="0"/>
        <w:pageBreakBefore w:val="0"/>
        <w:tabs>
          <w:tab w:val="left" w:pos="1848"/>
          <w:tab w:val="left" w:pos="2940"/>
        </w:tabs>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（3）荧光标记笔：定制LOGO,六只套装(6种颜色）。</w:t>
      </w:r>
    </w:p>
    <w:p>
      <w:pPr>
        <w:pStyle w:val="5"/>
        <w:keepNext w:val="0"/>
        <w:keepLines w:val="0"/>
        <w:pageBreakBefore w:val="0"/>
        <w:tabs>
          <w:tab w:val="left" w:pos="1848"/>
          <w:tab w:val="left" w:pos="2940"/>
        </w:tabs>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 xml:space="preserve">（4）定制保温杯：定制LOGO,304不锈钢采用自动点喷技术激光焊接外壳一体化360°旋转不漏水。 </w:t>
      </w:r>
    </w:p>
    <w:p>
      <w:pPr>
        <w:pStyle w:val="5"/>
        <w:keepNext w:val="0"/>
        <w:keepLines w:val="0"/>
        <w:pageBreakBefore w:val="0"/>
        <w:tabs>
          <w:tab w:val="left" w:pos="1848"/>
          <w:tab w:val="left" w:pos="2940"/>
        </w:tabs>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（5）“Y</w:t>
      </w:r>
      <w:r>
        <w:rPr>
          <w:rFonts w:hint="eastAsia" w:ascii="仿宋_GB2312" w:hAnsi="仿宋_GB2312" w:eastAsia="仿宋_GB2312" w:cs="仿宋_GB2312"/>
          <w:b w:val="0"/>
          <w:bCs w:val="0"/>
          <w:color w:val="auto"/>
          <w:sz w:val="32"/>
          <w:szCs w:val="32"/>
          <w:vertAlign w:val="superscript"/>
          <w:lang w:val="en-US" w:eastAsia="zh-CN"/>
        </w:rPr>
        <w:t>+</w:t>
      </w:r>
      <w:r>
        <w:rPr>
          <w:rFonts w:hint="eastAsia" w:ascii="仿宋_GB2312" w:hAnsi="仿宋_GB2312" w:eastAsia="仿宋_GB2312" w:cs="仿宋_GB2312"/>
          <w:b w:val="0"/>
          <w:bCs w:val="0"/>
          <w:color w:val="auto"/>
          <w:sz w:val="32"/>
          <w:szCs w:val="32"/>
          <w:lang w:val="en-US" w:eastAsia="zh-CN"/>
        </w:rPr>
        <w:t>”装饰牌：30*50cm，亚克力材质，含钢笔水彩手绘原创插画及设计。</w:t>
      </w:r>
    </w:p>
    <w:p>
      <w:pPr>
        <w:pStyle w:val="5"/>
        <w:keepNext w:val="0"/>
        <w:keepLines w:val="0"/>
        <w:pageBreakBefore w:val="0"/>
        <w:tabs>
          <w:tab w:val="left" w:pos="1848"/>
          <w:tab w:val="left" w:pos="2940"/>
        </w:tabs>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（6）定制宣传册：A4，3折页，157铜版纸，含钢笔水彩手绘原创画面及设计。</w:t>
      </w:r>
    </w:p>
    <w:p>
      <w:pPr>
        <w:pStyle w:val="5"/>
        <w:keepNext w:val="0"/>
        <w:keepLines w:val="0"/>
        <w:pageBreakBefore w:val="0"/>
        <w:tabs>
          <w:tab w:val="left" w:pos="1848"/>
          <w:tab w:val="left" w:pos="2940"/>
        </w:tabs>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（7）所有钢笔水彩手绘原创画面及设计必须按照团市委要求设计，并修改至满意为止。</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（8）所有钢笔水彩手绘原创画面及设计版权归采购人所有。</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eastAsia="zh-CN"/>
        </w:rPr>
        <w:t>三、项目完成</w:t>
      </w:r>
      <w:r>
        <w:rPr>
          <w:rFonts w:hint="eastAsia" w:ascii="黑体" w:hAnsi="黑体" w:eastAsia="黑体" w:cs="黑体"/>
          <w:b w:val="0"/>
          <w:bCs w:val="0"/>
          <w:color w:val="auto"/>
          <w:sz w:val="32"/>
          <w:szCs w:val="32"/>
          <w:lang w:val="en-US" w:eastAsia="zh-CN"/>
        </w:rPr>
        <w:t>时限</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2020年10月</w:t>
      </w:r>
    </w:p>
    <w:p>
      <w:pPr>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预算控价</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贰拾万叁仟伍佰整（￥203500元）以内</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五、供应商资格条件</w:t>
      </w:r>
    </w:p>
    <w:p>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1.参照政府采购法第二十二条规定，提供以下资料：</w:t>
      </w:r>
    </w:p>
    <w:p>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（一）法人或者其他组织的营业执照等证明文件，自然人的身份证明；</w:t>
      </w:r>
    </w:p>
    <w:p>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（二）财务状况报告，依法缴纳税收和社会保障资金的相关材料；</w:t>
      </w:r>
    </w:p>
    <w:p>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（三）具备履行合同所必需的设备和专业技术能力的证明材料；</w:t>
      </w:r>
    </w:p>
    <w:p>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（四）参加采购活动前3年内在经营活动中没有重大违法记录的书面声明；</w:t>
      </w:r>
    </w:p>
    <w:p>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（五）具备法律、行政法规规定的其他条件的证明材料。</w:t>
      </w:r>
    </w:p>
    <w:p>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.本项目所需特殊行业资质或要求</w:t>
      </w:r>
    </w:p>
    <w:p>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本项目供应商须具备行业资质名称及等级，提供符合要求的证明材料或者情况说明。</w:t>
      </w:r>
    </w:p>
    <w:p>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.本项目不接受联合体</w:t>
      </w:r>
      <w:r>
        <w:rPr>
          <w:rFonts w:hint="eastAsia" w:ascii="仿宋_GB2312" w:hAnsi="仿宋_GB2312" w:eastAsia="仿宋_GB2312" w:cs="仿宋_GB2312"/>
          <w:color w:val="auto"/>
          <w:sz w:val="32"/>
          <w:szCs w:val="32"/>
          <w:lang w:val="en-US" w:eastAsia="zh-CN"/>
        </w:rPr>
        <w:t>参与,可</w:t>
      </w:r>
      <w:r>
        <w:rPr>
          <w:rFonts w:hint="eastAsia" w:ascii="仿宋_GB2312" w:hAnsi="仿宋_GB2312" w:eastAsia="仿宋_GB2312" w:cs="仿宋_GB2312"/>
          <w:color w:val="auto"/>
          <w:sz w:val="32"/>
          <w:szCs w:val="32"/>
        </w:rPr>
        <w:t>接受分公司参与</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(如为分公司参与，但分公司不具备独立的法人资格的，须提供总公司对本次项目的授权【格式自拟】原件，否则作无效标处理。)</w:t>
      </w:r>
    </w:p>
    <w:p>
      <w:pPr>
        <w:keepNext w:val="0"/>
        <w:keepLines w:val="0"/>
        <w:pageBreakBefore w:val="0"/>
        <w:kinsoku/>
        <w:wordWrap/>
        <w:overflowPunct/>
        <w:topLinePunct w:val="0"/>
        <w:autoSpaceDE/>
        <w:autoSpaceDN/>
        <w:bidi w:val="0"/>
        <w:spacing w:beforeAutospacing="0" w:afterAutospacing="0" w:line="600" w:lineRule="exact"/>
        <w:ind w:firstLine="640" w:firstLineChars="200"/>
        <w:jc w:val="both"/>
        <w:textAlignment w:val="auto"/>
        <w:rPr>
          <w:rFonts w:hint="eastAsia"/>
          <w:color w:val="auto"/>
          <w:lang w:eastAsia="zh-CN"/>
        </w:rPr>
      </w:pPr>
      <w:r>
        <w:rPr>
          <w:rFonts w:hint="eastAsia" w:ascii="黑体" w:hAnsi="黑体" w:eastAsia="黑体" w:cs="黑体"/>
          <w:b w:val="0"/>
          <w:bCs/>
          <w:color w:val="auto"/>
          <w:sz w:val="32"/>
          <w:szCs w:val="32"/>
          <w:lang w:eastAsia="zh-CN"/>
        </w:rPr>
        <w:t>六、投标</w:t>
      </w:r>
      <w:r>
        <w:rPr>
          <w:rFonts w:hint="eastAsia" w:ascii="黑体" w:hAnsi="黑体" w:eastAsia="黑体" w:cs="黑体"/>
          <w:b w:val="0"/>
          <w:bCs/>
          <w:color w:val="auto"/>
          <w:sz w:val="32"/>
          <w:szCs w:val="32"/>
        </w:rPr>
        <w:t>文件编制要求</w:t>
      </w:r>
    </w:p>
    <w:p>
      <w:pPr>
        <w:keepNext w:val="0"/>
        <w:keepLines w:val="0"/>
        <w:pageBreakBefore w:val="0"/>
        <w:widowControl w:val="0"/>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格式</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使用中文简体字。原版为外文的证书类文件，以及由外籍人士做出的本人签名、外籍公司的名称或外籍印章等可以是外文，但应当提供中文翻译文件并加盖供应商公章。必要时磋商小组可以要求供应商提供附有公证书的中文翻译文件或者与原版文件签章相一致的中文翻译文件。对于未附有中文译本和中文译本不准确引起的对供应商的不利后果，由供应商自行负责。</w:t>
      </w:r>
    </w:p>
    <w:p>
      <w:pPr>
        <w:keepNext w:val="0"/>
        <w:keepLines w:val="0"/>
        <w:pageBreakBefore w:val="0"/>
        <w:widowControl w:val="0"/>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eastAsia="zh-CN"/>
        </w:rPr>
        <w:t>投标</w:t>
      </w:r>
      <w:r>
        <w:rPr>
          <w:rFonts w:hint="eastAsia" w:ascii="仿宋_GB2312" w:hAnsi="仿宋_GB2312" w:eastAsia="仿宋_GB2312" w:cs="仿宋_GB2312"/>
          <w:color w:val="auto"/>
          <w:sz w:val="32"/>
          <w:szCs w:val="32"/>
        </w:rPr>
        <w:t>文件中所使用的计量单位，均使用国家法定计量单位。</w:t>
      </w:r>
    </w:p>
    <w:p>
      <w:pPr>
        <w:keepNext w:val="0"/>
        <w:keepLines w:val="0"/>
        <w:pageBreakBefore w:val="0"/>
        <w:widowControl w:val="0"/>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w:t>
      </w:r>
      <w:r>
        <w:rPr>
          <w:rFonts w:hint="eastAsia" w:ascii="仿宋_GB2312" w:hAnsi="仿宋_GB2312" w:eastAsia="仿宋_GB2312" w:cs="仿宋_GB2312"/>
          <w:color w:val="auto"/>
          <w:sz w:val="32"/>
          <w:szCs w:val="32"/>
          <w:lang w:eastAsia="zh-CN"/>
        </w:rPr>
        <w:t>投标</w:t>
      </w:r>
      <w:r>
        <w:rPr>
          <w:rFonts w:hint="eastAsia" w:ascii="仿宋_GB2312" w:hAnsi="仿宋_GB2312" w:eastAsia="仿宋_GB2312" w:cs="仿宋_GB2312"/>
          <w:color w:val="auto"/>
          <w:sz w:val="32"/>
          <w:szCs w:val="32"/>
        </w:rPr>
        <w:t>文件中的图片资料、复印件等应清晰可见，内容不得倒置、歪斜。由于</w:t>
      </w:r>
      <w:r>
        <w:rPr>
          <w:rFonts w:hint="eastAsia" w:ascii="仿宋_GB2312" w:hAnsi="仿宋_GB2312" w:eastAsia="仿宋_GB2312" w:cs="仿宋_GB2312"/>
          <w:color w:val="auto"/>
          <w:sz w:val="32"/>
          <w:szCs w:val="32"/>
          <w:lang w:eastAsia="zh-CN"/>
        </w:rPr>
        <w:t>投标</w:t>
      </w:r>
      <w:r>
        <w:rPr>
          <w:rFonts w:hint="eastAsia" w:ascii="仿宋_GB2312" w:hAnsi="仿宋_GB2312" w:eastAsia="仿宋_GB2312" w:cs="仿宋_GB2312"/>
          <w:color w:val="auto"/>
          <w:sz w:val="32"/>
          <w:szCs w:val="32"/>
        </w:rPr>
        <w:t>文件不清晰或不利于阅读所造成的后果，由供应商自行负责。</w:t>
      </w:r>
    </w:p>
    <w:p>
      <w:pPr>
        <w:keepNext w:val="0"/>
        <w:keepLines w:val="0"/>
        <w:pageBreakBefore w:val="0"/>
        <w:widowControl w:val="0"/>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b/>
          <w:bCs/>
          <w:i w:val="0"/>
          <w:iCs/>
          <w:color w:val="auto"/>
          <w:sz w:val="32"/>
          <w:szCs w:val="32"/>
        </w:rPr>
      </w:pPr>
      <w:r>
        <w:rPr>
          <w:rFonts w:hint="eastAsia" w:ascii="仿宋_GB2312" w:hAnsi="仿宋_GB2312" w:eastAsia="仿宋_GB2312" w:cs="仿宋_GB2312"/>
          <w:color w:val="auto"/>
          <w:sz w:val="32"/>
          <w:szCs w:val="32"/>
        </w:rPr>
        <w:t>4.除法定代表人或法人授权代表</w:t>
      </w:r>
      <w:r>
        <w:rPr>
          <w:rFonts w:hint="eastAsia" w:ascii="仿宋_GB2312" w:hAnsi="仿宋_GB2312" w:eastAsia="仿宋_GB2312" w:cs="仿宋_GB2312"/>
          <w:b/>
          <w:bCs/>
          <w:color w:val="auto"/>
          <w:sz w:val="32"/>
          <w:szCs w:val="32"/>
        </w:rPr>
        <w:t>签字、页码、</w:t>
      </w:r>
      <w:r>
        <w:rPr>
          <w:rFonts w:hint="eastAsia" w:ascii="仿宋_GB2312" w:hAnsi="仿宋_GB2312" w:eastAsia="仿宋_GB2312" w:cs="仿宋_GB2312"/>
          <w:b/>
          <w:bCs/>
          <w:color w:val="auto"/>
          <w:sz w:val="32"/>
          <w:szCs w:val="32"/>
          <w:lang w:eastAsia="zh-CN"/>
        </w:rPr>
        <w:t>投标</w:t>
      </w:r>
      <w:r>
        <w:rPr>
          <w:rFonts w:hint="eastAsia" w:ascii="仿宋_GB2312" w:hAnsi="仿宋_GB2312" w:eastAsia="仿宋_GB2312" w:cs="仿宋_GB2312"/>
          <w:b/>
          <w:bCs/>
          <w:color w:val="auto"/>
          <w:sz w:val="32"/>
          <w:szCs w:val="32"/>
        </w:rPr>
        <w:t>文件包封封面</w:t>
      </w:r>
      <w:r>
        <w:rPr>
          <w:rFonts w:hint="eastAsia" w:ascii="仿宋_GB2312" w:hAnsi="仿宋_GB2312" w:eastAsia="仿宋_GB2312" w:cs="仿宋_GB2312"/>
          <w:color w:val="auto"/>
          <w:sz w:val="32"/>
          <w:szCs w:val="32"/>
        </w:rPr>
        <w:t>可以手写外，其余所有</w:t>
      </w:r>
      <w:r>
        <w:rPr>
          <w:rFonts w:hint="eastAsia" w:ascii="仿宋_GB2312" w:hAnsi="仿宋_GB2312" w:eastAsia="仿宋_GB2312" w:cs="仿宋_GB2312"/>
          <w:color w:val="auto"/>
          <w:sz w:val="32"/>
          <w:szCs w:val="32"/>
          <w:lang w:eastAsia="zh-CN"/>
        </w:rPr>
        <w:t>投标</w:t>
      </w:r>
      <w:r>
        <w:rPr>
          <w:rFonts w:hint="eastAsia" w:ascii="仿宋_GB2312" w:hAnsi="仿宋_GB2312" w:eastAsia="仿宋_GB2312" w:cs="仿宋_GB2312"/>
          <w:color w:val="auto"/>
          <w:sz w:val="32"/>
          <w:szCs w:val="32"/>
        </w:rPr>
        <w:t>文件内容须采用打印字体，</w:t>
      </w:r>
      <w:r>
        <w:rPr>
          <w:rFonts w:hint="eastAsia" w:ascii="仿宋_GB2312" w:hAnsi="仿宋_GB2312" w:eastAsia="仿宋_GB2312" w:cs="仿宋_GB2312"/>
          <w:b/>
          <w:bCs/>
          <w:i w:val="0"/>
          <w:iCs/>
          <w:color w:val="auto"/>
          <w:sz w:val="32"/>
          <w:szCs w:val="32"/>
        </w:rPr>
        <w:t>禁止手写，手写内容</w:t>
      </w:r>
      <w:r>
        <w:rPr>
          <w:rFonts w:hint="eastAsia" w:ascii="仿宋_GB2312" w:hAnsi="仿宋_GB2312" w:eastAsia="仿宋_GB2312" w:cs="仿宋_GB2312"/>
          <w:b/>
          <w:bCs/>
          <w:i w:val="0"/>
          <w:iCs/>
          <w:color w:val="auto"/>
          <w:sz w:val="32"/>
          <w:szCs w:val="32"/>
          <w:lang w:eastAsia="zh-CN"/>
        </w:rPr>
        <w:t>采购小组</w:t>
      </w:r>
      <w:r>
        <w:rPr>
          <w:rFonts w:hint="eastAsia" w:ascii="仿宋_GB2312" w:hAnsi="仿宋_GB2312" w:eastAsia="仿宋_GB2312" w:cs="仿宋_GB2312"/>
          <w:b/>
          <w:bCs/>
          <w:i w:val="0"/>
          <w:iCs/>
          <w:color w:val="auto"/>
          <w:sz w:val="32"/>
          <w:szCs w:val="32"/>
        </w:rPr>
        <w:t>不予认同，</w:t>
      </w:r>
      <w:r>
        <w:rPr>
          <w:rFonts w:hint="eastAsia" w:ascii="仿宋_GB2312" w:hAnsi="仿宋_GB2312" w:eastAsia="仿宋_GB2312" w:cs="仿宋_GB2312"/>
          <w:b/>
          <w:bCs/>
          <w:i w:val="0"/>
          <w:iCs/>
          <w:color w:val="auto"/>
          <w:sz w:val="32"/>
          <w:szCs w:val="32"/>
          <w:lang w:eastAsia="zh-CN"/>
        </w:rPr>
        <w:t>投标</w:t>
      </w:r>
      <w:r>
        <w:rPr>
          <w:rFonts w:hint="eastAsia" w:ascii="仿宋_GB2312" w:hAnsi="仿宋_GB2312" w:eastAsia="仿宋_GB2312" w:cs="仿宋_GB2312"/>
          <w:b/>
          <w:bCs/>
          <w:i w:val="0"/>
          <w:iCs/>
          <w:color w:val="auto"/>
          <w:sz w:val="32"/>
          <w:szCs w:val="32"/>
        </w:rPr>
        <w:t>文件作无效标处理。</w:t>
      </w:r>
    </w:p>
    <w:p>
      <w:pPr>
        <w:keepNext w:val="0"/>
        <w:keepLines w:val="0"/>
        <w:pageBreakBefore w:val="0"/>
        <w:widowControl w:val="0"/>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w:t>
      </w:r>
      <w:r>
        <w:rPr>
          <w:rFonts w:hint="eastAsia" w:ascii="仿宋_GB2312" w:hAnsi="仿宋_GB2312" w:eastAsia="仿宋_GB2312" w:cs="仿宋_GB2312"/>
          <w:color w:val="auto"/>
          <w:sz w:val="32"/>
          <w:szCs w:val="32"/>
          <w:lang w:eastAsia="zh-CN"/>
        </w:rPr>
        <w:t>投标</w:t>
      </w:r>
      <w:r>
        <w:rPr>
          <w:rFonts w:hint="eastAsia" w:ascii="仿宋_GB2312" w:hAnsi="仿宋_GB2312" w:eastAsia="仿宋_GB2312" w:cs="仿宋_GB2312"/>
          <w:color w:val="auto"/>
          <w:sz w:val="32"/>
          <w:szCs w:val="32"/>
        </w:rPr>
        <w:t>文件原则上应按</w:t>
      </w:r>
      <w:r>
        <w:rPr>
          <w:rFonts w:hint="eastAsia" w:ascii="仿宋_GB2312" w:hAnsi="仿宋_GB2312" w:eastAsia="仿宋_GB2312" w:cs="仿宋_GB2312"/>
          <w:color w:val="auto"/>
          <w:sz w:val="32"/>
          <w:szCs w:val="32"/>
          <w:lang w:eastAsia="zh-CN"/>
        </w:rPr>
        <w:t>采购方</w:t>
      </w:r>
      <w:r>
        <w:rPr>
          <w:rFonts w:hint="eastAsia" w:ascii="仿宋_GB2312" w:hAnsi="仿宋_GB2312" w:eastAsia="仿宋_GB2312" w:cs="仿宋_GB2312"/>
          <w:color w:val="auto"/>
          <w:sz w:val="32"/>
          <w:szCs w:val="32"/>
        </w:rPr>
        <w:t>提供的文件格式范本填写，未提供格式范本的，由供应商自行编制。如格式出现不适用情形，可做适当修改。</w:t>
      </w:r>
    </w:p>
    <w:p>
      <w:pPr>
        <w:keepNext w:val="0"/>
        <w:keepLines w:val="0"/>
        <w:pageBreakBefore w:val="0"/>
        <w:widowControl w:val="0"/>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装订</w:t>
      </w:r>
      <w:r>
        <w:rPr>
          <w:rFonts w:hint="eastAsia" w:ascii="仿宋_GB2312" w:hAnsi="仿宋_GB2312" w:eastAsia="仿宋_GB2312" w:cs="仿宋_GB2312"/>
          <w:color w:val="auto"/>
          <w:sz w:val="32"/>
          <w:szCs w:val="32"/>
          <w:lang w:eastAsia="zh-CN"/>
        </w:rPr>
        <w:t>：投标</w:t>
      </w:r>
      <w:r>
        <w:rPr>
          <w:rFonts w:hint="eastAsia" w:ascii="仿宋_GB2312" w:hAnsi="仿宋_GB2312" w:eastAsia="仿宋_GB2312" w:cs="仿宋_GB2312"/>
          <w:color w:val="auto"/>
          <w:sz w:val="32"/>
          <w:szCs w:val="32"/>
        </w:rPr>
        <w:t>文件须胶装成册，并在封面注明</w:t>
      </w:r>
      <w:r>
        <w:rPr>
          <w:rFonts w:hint="eastAsia" w:ascii="仿宋_GB2312" w:hAnsi="仿宋_GB2312" w:eastAsia="仿宋_GB2312" w:cs="仿宋_GB2312"/>
          <w:color w:val="auto"/>
          <w:sz w:val="32"/>
          <w:szCs w:val="32"/>
          <w:lang w:val="en-US" w:eastAsia="zh-CN"/>
        </w:rPr>
        <w:t>项目名称等</w:t>
      </w:r>
      <w:r>
        <w:rPr>
          <w:rFonts w:hint="eastAsia" w:ascii="仿宋_GB2312" w:hAnsi="仿宋_GB2312" w:eastAsia="仿宋_GB2312" w:cs="仿宋_GB2312"/>
          <w:color w:val="auto"/>
          <w:sz w:val="32"/>
          <w:szCs w:val="32"/>
        </w:rPr>
        <w:t>。不得采用活页、打孔等方式装订。不推荐使用豪华装订，建议平装。但由于文件打印不清晰或不利于阅读所造成的后果，由供应商自行负责。</w:t>
      </w:r>
    </w:p>
    <w:p>
      <w:pPr>
        <w:keepNext w:val="0"/>
        <w:keepLines w:val="0"/>
        <w:pageBreakBefore w:val="0"/>
        <w:widowControl w:val="0"/>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7</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投标</w:t>
      </w:r>
      <w:r>
        <w:rPr>
          <w:rFonts w:hint="eastAsia" w:ascii="仿宋_GB2312" w:hAnsi="仿宋_GB2312" w:eastAsia="仿宋_GB2312" w:cs="仿宋_GB2312"/>
          <w:color w:val="auto"/>
          <w:sz w:val="32"/>
          <w:szCs w:val="32"/>
        </w:rPr>
        <w:t>文件须用A4纸打印，统一编目、编页码装订。超过A4幅，应以相应幅面打印，应折叠为A4幅大小后装订，</w:t>
      </w:r>
      <w:r>
        <w:rPr>
          <w:rFonts w:hint="eastAsia" w:ascii="仿宋_GB2312" w:hAnsi="仿宋_GB2312" w:eastAsia="仿宋_GB2312" w:cs="仿宋_GB2312"/>
          <w:color w:val="auto"/>
          <w:sz w:val="32"/>
          <w:szCs w:val="32"/>
          <w:lang w:eastAsia="zh-CN"/>
        </w:rPr>
        <w:t>采购方</w:t>
      </w:r>
      <w:r>
        <w:rPr>
          <w:rFonts w:hint="eastAsia" w:ascii="仿宋_GB2312" w:hAnsi="仿宋_GB2312" w:eastAsia="仿宋_GB2312" w:cs="仿宋_GB2312"/>
          <w:color w:val="auto"/>
          <w:sz w:val="32"/>
          <w:szCs w:val="32"/>
        </w:rPr>
        <w:t>有提供图册等其它要求的除外。由于编排混乱导致</w:t>
      </w:r>
      <w:r>
        <w:rPr>
          <w:rFonts w:hint="eastAsia" w:ascii="仿宋_GB2312" w:hAnsi="仿宋_GB2312" w:eastAsia="仿宋_GB2312" w:cs="仿宋_GB2312"/>
          <w:color w:val="auto"/>
          <w:sz w:val="32"/>
          <w:szCs w:val="32"/>
          <w:lang w:eastAsia="zh-CN"/>
        </w:rPr>
        <w:t>投标</w:t>
      </w:r>
      <w:r>
        <w:rPr>
          <w:rFonts w:hint="eastAsia" w:ascii="仿宋_GB2312" w:hAnsi="仿宋_GB2312" w:eastAsia="仿宋_GB2312" w:cs="仿宋_GB2312"/>
          <w:color w:val="auto"/>
          <w:sz w:val="32"/>
          <w:szCs w:val="32"/>
        </w:rPr>
        <w:t>文件被误读或无法查找，由供应商自行承担责任。</w:t>
      </w:r>
    </w:p>
    <w:p>
      <w:pPr>
        <w:keepNext w:val="0"/>
        <w:keepLines w:val="0"/>
        <w:pageBreakBefore w:val="0"/>
        <w:widowControl w:val="0"/>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递交要求</w:t>
      </w:r>
      <w:r>
        <w:rPr>
          <w:rFonts w:hint="eastAsia" w:ascii="仿宋_GB2312" w:hAnsi="仿宋_GB2312" w:eastAsia="仿宋_GB2312" w:cs="仿宋_GB2312"/>
          <w:color w:val="auto"/>
          <w:sz w:val="32"/>
          <w:szCs w:val="32"/>
          <w:lang w:eastAsia="zh-CN"/>
        </w:rPr>
        <w:t>：投标</w:t>
      </w:r>
      <w:r>
        <w:rPr>
          <w:rFonts w:hint="eastAsia" w:ascii="仿宋_GB2312" w:hAnsi="仿宋_GB2312" w:eastAsia="仿宋_GB2312" w:cs="仿宋_GB2312"/>
          <w:color w:val="auto"/>
          <w:sz w:val="32"/>
          <w:szCs w:val="32"/>
        </w:rPr>
        <w:t>文件包含：</w:t>
      </w:r>
      <w:r>
        <w:rPr>
          <w:rFonts w:hint="eastAsia" w:ascii="仿宋_GB2312" w:hAnsi="仿宋_GB2312" w:eastAsia="仿宋_GB2312" w:cs="仿宋_GB2312"/>
          <w:b/>
          <w:bCs/>
          <w:i w:val="0"/>
          <w:iCs/>
          <w:color w:val="auto"/>
          <w:sz w:val="32"/>
          <w:szCs w:val="32"/>
        </w:rPr>
        <w:t>正本</w:t>
      </w:r>
      <w:r>
        <w:rPr>
          <w:rFonts w:hint="eastAsia" w:ascii="仿宋_GB2312" w:hAnsi="仿宋_GB2312" w:eastAsia="仿宋_GB2312" w:cs="仿宋_GB2312"/>
          <w:b/>
          <w:bCs/>
          <w:i w:val="0"/>
          <w:iCs/>
          <w:color w:val="auto"/>
          <w:sz w:val="32"/>
          <w:szCs w:val="32"/>
          <w:u w:val="single"/>
        </w:rPr>
        <w:t xml:space="preserve"> 一 </w:t>
      </w:r>
      <w:r>
        <w:rPr>
          <w:rFonts w:hint="eastAsia" w:ascii="仿宋_GB2312" w:hAnsi="仿宋_GB2312" w:eastAsia="仿宋_GB2312" w:cs="仿宋_GB2312"/>
          <w:b/>
          <w:bCs/>
          <w:i w:val="0"/>
          <w:iCs/>
          <w:color w:val="auto"/>
          <w:sz w:val="32"/>
          <w:szCs w:val="32"/>
        </w:rPr>
        <w:t>份、副本</w:t>
      </w:r>
      <w:r>
        <w:rPr>
          <w:rFonts w:hint="eastAsia" w:ascii="仿宋_GB2312" w:hAnsi="仿宋_GB2312" w:eastAsia="仿宋_GB2312" w:cs="仿宋_GB2312"/>
          <w:b/>
          <w:bCs/>
          <w:i w:val="0"/>
          <w:iCs/>
          <w:color w:val="auto"/>
          <w:sz w:val="32"/>
          <w:szCs w:val="32"/>
          <w:u w:val="single"/>
          <w:lang w:val="en-US" w:eastAsia="zh-CN"/>
        </w:rPr>
        <w:t xml:space="preserve">  </w:t>
      </w:r>
      <w:r>
        <w:rPr>
          <w:rFonts w:hint="eastAsia" w:ascii="仿宋_GB2312" w:hAnsi="仿宋_GB2312" w:eastAsia="仿宋_GB2312" w:cs="仿宋_GB2312"/>
          <w:b/>
          <w:bCs/>
          <w:i w:val="0"/>
          <w:iCs/>
          <w:color w:val="auto"/>
          <w:sz w:val="32"/>
          <w:szCs w:val="32"/>
          <w:u w:val="single"/>
          <w:lang w:eastAsia="zh-CN"/>
        </w:rPr>
        <w:t>一</w:t>
      </w:r>
      <w:r>
        <w:rPr>
          <w:rFonts w:hint="eastAsia" w:ascii="仿宋_GB2312" w:hAnsi="仿宋_GB2312" w:eastAsia="仿宋_GB2312" w:cs="仿宋_GB2312"/>
          <w:b/>
          <w:bCs/>
          <w:i w:val="0"/>
          <w:iCs/>
          <w:color w:val="auto"/>
          <w:sz w:val="32"/>
          <w:szCs w:val="32"/>
          <w:u w:val="single"/>
        </w:rPr>
        <w:t xml:space="preserve"> </w:t>
      </w:r>
      <w:r>
        <w:rPr>
          <w:rFonts w:hint="eastAsia" w:ascii="仿宋_GB2312" w:hAnsi="仿宋_GB2312" w:eastAsia="仿宋_GB2312" w:cs="仿宋_GB2312"/>
          <w:b/>
          <w:bCs/>
          <w:i w:val="0"/>
          <w:iCs/>
          <w:color w:val="auto"/>
          <w:sz w:val="32"/>
          <w:szCs w:val="32"/>
        </w:rPr>
        <w:t>份、电子文档</w:t>
      </w:r>
      <w:r>
        <w:rPr>
          <w:rFonts w:hint="eastAsia" w:ascii="仿宋_GB2312" w:hAnsi="仿宋_GB2312" w:eastAsia="仿宋_GB2312" w:cs="仿宋_GB2312"/>
          <w:b/>
          <w:bCs/>
          <w:i w:val="0"/>
          <w:iCs/>
          <w:color w:val="auto"/>
          <w:sz w:val="32"/>
          <w:szCs w:val="32"/>
          <w:u w:val="single"/>
        </w:rPr>
        <w:t xml:space="preserve"> 一 </w:t>
      </w:r>
      <w:r>
        <w:rPr>
          <w:rFonts w:hint="eastAsia" w:ascii="仿宋_GB2312" w:hAnsi="仿宋_GB2312" w:eastAsia="仿宋_GB2312" w:cs="仿宋_GB2312"/>
          <w:b/>
          <w:bCs/>
          <w:i w:val="0"/>
          <w:iCs/>
          <w:color w:val="auto"/>
          <w:sz w:val="32"/>
          <w:szCs w:val="32"/>
        </w:rPr>
        <w:t>份</w:t>
      </w:r>
      <w:r>
        <w:rPr>
          <w:rFonts w:hint="eastAsia" w:ascii="仿宋_GB2312" w:hAnsi="仿宋_GB2312" w:eastAsia="仿宋_GB2312" w:cs="仿宋_GB2312"/>
          <w:color w:val="auto"/>
          <w:sz w:val="32"/>
          <w:szCs w:val="32"/>
        </w:rPr>
        <w:t>（电子文档光盘/U盘不加密）。</w:t>
      </w:r>
      <w:r>
        <w:rPr>
          <w:rFonts w:hint="eastAsia" w:ascii="仿宋_GB2312" w:hAnsi="仿宋_GB2312" w:eastAsia="仿宋_GB2312" w:cs="仿宋_GB2312"/>
          <w:b/>
          <w:bCs/>
          <w:color w:val="auto"/>
          <w:sz w:val="32"/>
          <w:szCs w:val="32"/>
        </w:rPr>
        <w:t>递交</w:t>
      </w:r>
      <w:r>
        <w:rPr>
          <w:rFonts w:hint="eastAsia" w:ascii="仿宋_GB2312" w:hAnsi="仿宋_GB2312" w:eastAsia="仿宋_GB2312" w:cs="仿宋_GB2312"/>
          <w:b/>
          <w:bCs/>
          <w:color w:val="auto"/>
          <w:sz w:val="32"/>
          <w:szCs w:val="32"/>
          <w:lang w:eastAsia="zh-CN"/>
        </w:rPr>
        <w:t>投标</w:t>
      </w:r>
      <w:r>
        <w:rPr>
          <w:rFonts w:hint="eastAsia" w:ascii="仿宋_GB2312" w:hAnsi="仿宋_GB2312" w:eastAsia="仿宋_GB2312" w:cs="仿宋_GB2312"/>
          <w:b/>
          <w:bCs/>
          <w:color w:val="auto"/>
          <w:sz w:val="32"/>
          <w:szCs w:val="32"/>
        </w:rPr>
        <w:t>文件不完整的按无效标处理。</w:t>
      </w:r>
    </w:p>
    <w:p>
      <w:pPr>
        <w:keepNext w:val="0"/>
        <w:keepLines w:val="0"/>
        <w:pageBreakBefore w:val="0"/>
        <w:widowControl w:val="0"/>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color w:val="auto"/>
          <w:sz w:val="32"/>
          <w:szCs w:val="32"/>
          <w:lang w:val="en-US" w:eastAsia="zh-CN"/>
        </w:rPr>
        <w:t>9.</w:t>
      </w:r>
      <w:r>
        <w:rPr>
          <w:rFonts w:hint="eastAsia" w:ascii="仿宋_GB2312" w:hAnsi="仿宋_GB2312" w:eastAsia="仿宋_GB2312" w:cs="仿宋_GB2312"/>
          <w:color w:val="auto"/>
          <w:sz w:val="32"/>
          <w:szCs w:val="32"/>
        </w:rPr>
        <w:t>签署与封装</w:t>
      </w:r>
      <w:r>
        <w:rPr>
          <w:rFonts w:hint="eastAsia" w:ascii="仿宋_GB2312" w:hAnsi="仿宋_GB2312" w:eastAsia="仿宋_GB2312" w:cs="仿宋_GB2312"/>
          <w:color w:val="auto"/>
          <w:sz w:val="32"/>
          <w:szCs w:val="32"/>
          <w:lang w:eastAsia="zh-CN"/>
        </w:rPr>
        <w:t>：投标</w:t>
      </w:r>
      <w:r>
        <w:rPr>
          <w:rFonts w:hint="eastAsia" w:ascii="仿宋_GB2312" w:hAnsi="仿宋_GB2312" w:eastAsia="仿宋_GB2312" w:cs="仿宋_GB2312"/>
          <w:color w:val="auto"/>
          <w:sz w:val="32"/>
          <w:szCs w:val="32"/>
        </w:rPr>
        <w:t>文件封面上须注明“正本”或“副本”字样。若正本与副本不符，以正本为准。</w:t>
      </w:r>
      <w:r>
        <w:rPr>
          <w:rFonts w:hint="eastAsia" w:ascii="仿宋_GB2312" w:hAnsi="仿宋_GB2312" w:eastAsia="仿宋_GB2312" w:cs="仿宋_GB2312"/>
          <w:b/>
          <w:color w:val="auto"/>
          <w:sz w:val="32"/>
          <w:szCs w:val="32"/>
        </w:rPr>
        <w:t>文件中正、副本均需加盖封面章和骑缝章且正本</w:t>
      </w:r>
      <w:r>
        <w:rPr>
          <w:rFonts w:hint="eastAsia" w:ascii="仿宋_GB2312" w:hAnsi="仿宋_GB2312" w:eastAsia="仿宋_GB2312" w:cs="仿宋_GB2312"/>
          <w:b/>
          <w:bCs/>
          <w:color w:val="auto"/>
          <w:sz w:val="32"/>
          <w:szCs w:val="32"/>
        </w:rPr>
        <w:t>每一页均需加盖供应商公章</w:t>
      </w:r>
      <w:r>
        <w:rPr>
          <w:rFonts w:hint="eastAsia" w:ascii="仿宋_GB2312" w:hAnsi="仿宋_GB2312" w:eastAsia="仿宋_GB2312" w:cs="仿宋_GB2312"/>
          <w:color w:val="auto"/>
          <w:sz w:val="32"/>
          <w:szCs w:val="32"/>
        </w:rPr>
        <w:t>。文件范本中注明需要签章的地方，供应商均须进行签章。</w:t>
      </w:r>
      <w:r>
        <w:rPr>
          <w:rFonts w:hint="eastAsia" w:ascii="仿宋_GB2312" w:hAnsi="仿宋_GB2312" w:eastAsia="仿宋_GB2312" w:cs="仿宋_GB2312"/>
          <w:b/>
          <w:bCs/>
          <w:color w:val="auto"/>
          <w:sz w:val="32"/>
          <w:szCs w:val="32"/>
        </w:rPr>
        <w:t>未按要求盖章及签章的均按无实质性文件处理。</w:t>
      </w:r>
    </w:p>
    <w:p>
      <w:pPr>
        <w:keepNext w:val="0"/>
        <w:keepLines w:val="0"/>
        <w:pageBreakBefore w:val="0"/>
        <w:widowControl w:val="0"/>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投标</w:t>
      </w:r>
      <w:r>
        <w:rPr>
          <w:rFonts w:hint="eastAsia" w:ascii="仿宋_GB2312" w:hAnsi="仿宋_GB2312" w:eastAsia="仿宋_GB2312" w:cs="仿宋_GB2312"/>
          <w:color w:val="auto"/>
          <w:sz w:val="32"/>
          <w:szCs w:val="32"/>
        </w:rPr>
        <w:t xml:space="preserve">文件装入密封袋内，密封完整，封口（接口）处加盖响应单位公章。封装袋上注明项目名称、项目编号、供应商名称的字样。未按规定密封的响应文件不予接收。        </w:t>
      </w:r>
    </w:p>
    <w:p>
      <w:pPr>
        <w:keepNext w:val="0"/>
        <w:keepLines w:val="0"/>
        <w:pageBreakBefore w:val="0"/>
        <w:numPr>
          <w:ilvl w:val="0"/>
          <w:numId w:val="0"/>
        </w:numPr>
        <w:kinsoku/>
        <w:wordWrap/>
        <w:overflowPunct/>
        <w:topLinePunct w:val="0"/>
        <w:autoSpaceDE/>
        <w:autoSpaceDN/>
        <w:bidi w:val="0"/>
        <w:spacing w:beforeAutospacing="0" w:afterAutospacing="0" w:line="600" w:lineRule="exact"/>
        <w:ind w:firstLine="640" w:firstLineChars="200"/>
        <w:jc w:val="both"/>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七、提交样品</w:t>
      </w:r>
    </w:p>
    <w:p>
      <w:pPr>
        <w:keepNext w:val="0"/>
        <w:keepLines w:val="0"/>
        <w:pageBreakBefore w:val="0"/>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1.供应商按要求提交（1）定制笔记本；（2）定制帆布袋；（3）定制荧光标记笔；（4）定制保温杯；（5）“Y</w:t>
      </w:r>
      <w:r>
        <w:rPr>
          <w:rFonts w:hint="eastAsia" w:ascii="仿宋_GB2312" w:hAnsi="仿宋_GB2312" w:eastAsia="仿宋_GB2312" w:cs="仿宋_GB2312"/>
          <w:color w:val="auto"/>
          <w:sz w:val="32"/>
          <w:szCs w:val="32"/>
          <w:vertAlign w:val="superscript"/>
          <w:lang w:val="en-US" w:eastAsia="zh-CN"/>
        </w:rPr>
        <w:t>+</w:t>
      </w:r>
      <w:r>
        <w:rPr>
          <w:rFonts w:hint="eastAsia" w:ascii="仿宋_GB2312" w:hAnsi="仿宋_GB2312" w:eastAsia="仿宋_GB2312" w:cs="仿宋_GB2312"/>
          <w:color w:val="auto"/>
          <w:sz w:val="32"/>
          <w:szCs w:val="32"/>
          <w:lang w:val="en-US" w:eastAsia="zh-CN"/>
        </w:rPr>
        <w:t>”装饰牌定制（6）宣传册。（以上样品各一个）</w:t>
      </w:r>
    </w:p>
    <w:p>
      <w:pPr>
        <w:keepNext w:val="0"/>
        <w:keepLines w:val="0"/>
        <w:pageBreakBefore w:val="0"/>
        <w:kinsoku/>
        <w:wordWrap/>
        <w:overflowPunct/>
        <w:topLinePunct w:val="0"/>
        <w:autoSpaceDE/>
        <w:autoSpaceDN/>
        <w:bidi w:val="0"/>
        <w:spacing w:beforeAutospacing="0" w:afterAutospacing="0" w:line="600" w:lineRule="exact"/>
        <w:ind w:firstLine="643"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2.在递交投标文件时须同时递交样品</w:t>
      </w:r>
      <w:r>
        <w:rPr>
          <w:rFonts w:hint="eastAsia" w:ascii="仿宋_GB2312" w:hAnsi="仿宋_GB2312" w:eastAsia="仿宋_GB2312" w:cs="仿宋_GB2312"/>
          <w:color w:val="auto"/>
          <w:sz w:val="32"/>
          <w:szCs w:val="32"/>
          <w:lang w:val="en-US" w:eastAsia="zh-CN"/>
        </w:rPr>
        <w:t>。</w:t>
      </w:r>
    </w:p>
    <w:p>
      <w:pPr>
        <w:keepNext w:val="0"/>
        <w:keepLines w:val="0"/>
        <w:pageBreakBefore w:val="0"/>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color w:val="auto"/>
          <w:sz w:val="32"/>
          <w:szCs w:val="32"/>
          <w:lang w:val="en-US" w:eastAsia="zh-CN"/>
        </w:rPr>
        <w:t>3.成交供应商保证，采购方在使用该货物或货物的任何一部分时，免受第三方提出的侵犯其专利权、商标权或其他知识产权的起诉。如发生此类纠纷，由成交供应商承担一切责任；如因此给采购方造成损失的，成交供应商负责全额赔偿。</w:t>
      </w:r>
    </w:p>
    <w:p>
      <w:pPr>
        <w:keepNext w:val="0"/>
        <w:keepLines w:val="0"/>
        <w:pageBreakBefore w:val="0"/>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b/>
          <w:color w:val="auto"/>
          <w:sz w:val="32"/>
          <w:szCs w:val="32"/>
          <w:lang w:eastAsia="zh-CN"/>
        </w:rPr>
      </w:pPr>
      <w:bookmarkStart w:id="0" w:name="_Toc15922"/>
      <w:r>
        <w:rPr>
          <w:rFonts w:hint="eastAsia" w:ascii="黑体" w:hAnsi="黑体" w:eastAsia="黑体" w:cs="黑体"/>
          <w:b w:val="0"/>
          <w:bCs w:val="0"/>
          <w:color w:val="auto"/>
          <w:sz w:val="32"/>
          <w:szCs w:val="32"/>
          <w:lang w:eastAsia="zh-CN"/>
        </w:rPr>
        <w:t>八、</w:t>
      </w:r>
      <w:r>
        <w:rPr>
          <w:rFonts w:hint="eastAsia" w:ascii="黑体" w:hAnsi="黑体" w:eastAsia="黑体" w:cs="黑体"/>
          <w:b w:val="0"/>
          <w:bCs w:val="0"/>
          <w:color w:val="auto"/>
          <w:sz w:val="32"/>
          <w:szCs w:val="32"/>
        </w:rPr>
        <w:t>评审办法</w:t>
      </w:r>
      <w:bookmarkEnd w:id="0"/>
    </w:p>
    <w:p>
      <w:pPr>
        <w:keepNext w:val="0"/>
        <w:keepLines w:val="0"/>
        <w:pageBreakBefore w:val="0"/>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本项目采用</w:t>
      </w:r>
      <w:r>
        <w:rPr>
          <w:rFonts w:hint="eastAsia" w:ascii="仿宋_GB2312" w:hAnsi="仿宋_GB2312" w:eastAsia="仿宋_GB2312" w:cs="仿宋_GB2312"/>
          <w:color w:val="auto"/>
          <w:sz w:val="32"/>
          <w:szCs w:val="32"/>
          <w:u w:val="single"/>
        </w:rPr>
        <w:t xml:space="preserve">综合评分法 </w:t>
      </w:r>
      <w:r>
        <w:rPr>
          <w:rFonts w:hint="eastAsia" w:ascii="仿宋_GB2312" w:hAnsi="仿宋_GB2312" w:eastAsia="仿宋_GB2312" w:cs="仿宋_GB2312"/>
          <w:color w:val="auto"/>
          <w:sz w:val="32"/>
          <w:szCs w:val="32"/>
        </w:rPr>
        <w:t>进行评审。</w:t>
      </w:r>
    </w:p>
    <w:p>
      <w:pPr>
        <w:keepNext w:val="0"/>
        <w:keepLines w:val="0"/>
        <w:pageBreakBefore w:val="0"/>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napToGrid w:val="0"/>
          <w:color w:val="auto"/>
          <w:spacing w:val="8"/>
          <w:sz w:val="32"/>
          <w:szCs w:val="32"/>
        </w:rPr>
      </w:pPr>
      <w:r>
        <w:rPr>
          <w:rFonts w:hint="eastAsia" w:ascii="仿宋_GB2312" w:hAnsi="仿宋_GB2312" w:eastAsia="仿宋_GB2312" w:cs="仿宋_GB2312"/>
          <w:color w:val="auto"/>
          <w:sz w:val="32"/>
          <w:szCs w:val="32"/>
        </w:rPr>
        <w:t>综合评分法：</w:t>
      </w:r>
      <w:r>
        <w:rPr>
          <w:rFonts w:hint="eastAsia" w:ascii="仿宋_GB2312" w:hAnsi="仿宋_GB2312" w:eastAsia="仿宋_GB2312" w:cs="仿宋_GB2312"/>
          <w:snapToGrid w:val="0"/>
          <w:color w:val="auto"/>
          <w:spacing w:val="8"/>
          <w:sz w:val="32"/>
          <w:szCs w:val="32"/>
        </w:rPr>
        <w:t>是指</w:t>
      </w:r>
      <w:r>
        <w:rPr>
          <w:rFonts w:hint="eastAsia" w:ascii="仿宋_GB2312" w:hAnsi="仿宋_GB2312" w:eastAsia="仿宋_GB2312" w:cs="仿宋_GB2312"/>
          <w:snapToGrid w:val="0"/>
          <w:color w:val="auto"/>
          <w:spacing w:val="8"/>
          <w:sz w:val="32"/>
          <w:szCs w:val="32"/>
          <w:lang w:eastAsia="zh-CN"/>
        </w:rPr>
        <w:t>投标</w:t>
      </w:r>
      <w:r>
        <w:rPr>
          <w:rFonts w:hint="eastAsia" w:ascii="仿宋_GB2312" w:hAnsi="仿宋_GB2312" w:eastAsia="仿宋_GB2312" w:cs="仿宋_GB2312"/>
          <w:snapToGrid w:val="0"/>
          <w:color w:val="auto"/>
          <w:spacing w:val="8"/>
          <w:sz w:val="32"/>
          <w:szCs w:val="32"/>
        </w:rPr>
        <w:t>文件满足</w:t>
      </w:r>
      <w:r>
        <w:rPr>
          <w:rFonts w:hint="eastAsia" w:ascii="仿宋_GB2312" w:hAnsi="仿宋_GB2312" w:eastAsia="仿宋_GB2312" w:cs="仿宋_GB2312"/>
          <w:snapToGrid w:val="0"/>
          <w:color w:val="auto"/>
          <w:spacing w:val="8"/>
          <w:sz w:val="32"/>
          <w:szCs w:val="32"/>
          <w:lang w:eastAsia="zh-CN"/>
        </w:rPr>
        <w:t>采购方</w:t>
      </w:r>
      <w:r>
        <w:rPr>
          <w:rFonts w:hint="eastAsia" w:ascii="仿宋_GB2312" w:hAnsi="仿宋_GB2312" w:eastAsia="仿宋_GB2312" w:cs="仿宋_GB2312"/>
          <w:snapToGrid w:val="0"/>
          <w:color w:val="auto"/>
          <w:spacing w:val="8"/>
          <w:sz w:val="32"/>
          <w:szCs w:val="32"/>
        </w:rPr>
        <w:t>全部实质性要求，且按照评审因素的量化指标（即评分表）评审得分最高的供应商为成交候选人的评审方法。</w:t>
      </w:r>
    </w:p>
    <w:p>
      <w:pPr>
        <w:keepNext w:val="0"/>
        <w:keepLines w:val="0"/>
        <w:pageBreakBefore w:val="0"/>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u w:val="single"/>
        </w:rPr>
        <w:t>注：按评审得分由高到低顺序排序。得分相同的，按响应报价由低到高顺序排列。得分且报价相同的，按技术指标优劣顺序排列。能最大限度满足</w:t>
      </w:r>
      <w:r>
        <w:rPr>
          <w:rFonts w:hint="eastAsia" w:ascii="仿宋_GB2312" w:hAnsi="仿宋_GB2312" w:eastAsia="仿宋_GB2312" w:cs="仿宋_GB2312"/>
          <w:color w:val="auto"/>
          <w:sz w:val="32"/>
          <w:szCs w:val="32"/>
          <w:u w:val="single"/>
          <w:lang w:eastAsia="zh-CN"/>
        </w:rPr>
        <w:t>采购方</w:t>
      </w:r>
      <w:r>
        <w:rPr>
          <w:rFonts w:hint="eastAsia" w:ascii="仿宋_GB2312" w:hAnsi="仿宋_GB2312" w:eastAsia="仿宋_GB2312" w:cs="仿宋_GB2312"/>
          <w:color w:val="auto"/>
          <w:sz w:val="32"/>
          <w:szCs w:val="32"/>
          <w:u w:val="single"/>
        </w:rPr>
        <w:t>的实质性要求和各项综合评价标准，即综合优势明显的供应商有可能成交，但不保证最低报价者排序第一。</w:t>
      </w:r>
    </w:p>
    <w:p>
      <w:pPr>
        <w:keepNext w:val="0"/>
        <w:keepLines w:val="0"/>
        <w:pageBreakBefore w:val="0"/>
        <w:kinsoku/>
        <w:wordWrap/>
        <w:overflowPunct/>
        <w:topLinePunct w:val="0"/>
        <w:autoSpaceDE/>
        <w:autoSpaceDN/>
        <w:bidi w:val="0"/>
        <w:spacing w:beforeAutospacing="0" w:afterAutospacing="0" w:line="600" w:lineRule="exact"/>
        <w:jc w:val="center"/>
        <w:textAlignment w:val="auto"/>
        <w:rPr>
          <w:rFonts w:hint="eastAsia" w:ascii="仿宋_GB2312" w:hAnsi="仿宋_GB2312" w:eastAsia="仿宋_GB2312" w:cs="仿宋_GB2312"/>
          <w:b/>
          <w:bCs/>
          <w:color w:val="auto"/>
          <w:sz w:val="32"/>
          <w:szCs w:val="32"/>
          <w:u w:val="single"/>
        </w:rPr>
      </w:pPr>
      <w:r>
        <w:rPr>
          <w:rFonts w:hint="eastAsia" w:ascii="仿宋_GB2312" w:hAnsi="仿宋_GB2312" w:eastAsia="仿宋_GB2312" w:cs="仿宋_GB2312"/>
          <w:b/>
          <w:bCs/>
          <w:color w:val="auto"/>
          <w:sz w:val="32"/>
          <w:szCs w:val="32"/>
          <w:u w:val="single"/>
        </w:rPr>
        <w:t>评分表</w:t>
      </w:r>
    </w:p>
    <w:tbl>
      <w:tblPr>
        <w:tblStyle w:val="9"/>
        <w:tblW w:w="4931" w:type="pct"/>
        <w:jc w:val="center"/>
        <w:tblLayout w:type="autofit"/>
        <w:tblCellMar>
          <w:top w:w="0" w:type="dxa"/>
          <w:left w:w="108" w:type="dxa"/>
          <w:bottom w:w="0" w:type="dxa"/>
          <w:right w:w="108" w:type="dxa"/>
        </w:tblCellMar>
      </w:tblPr>
      <w:tblGrid>
        <w:gridCol w:w="987"/>
        <w:gridCol w:w="833"/>
        <w:gridCol w:w="3440"/>
        <w:gridCol w:w="922"/>
        <w:gridCol w:w="706"/>
        <w:gridCol w:w="659"/>
        <w:gridCol w:w="642"/>
        <w:gridCol w:w="747"/>
      </w:tblGrid>
      <w:tr>
        <w:tblPrEx>
          <w:tblCellMar>
            <w:top w:w="0" w:type="dxa"/>
            <w:left w:w="108" w:type="dxa"/>
            <w:bottom w:w="0" w:type="dxa"/>
            <w:right w:w="108" w:type="dxa"/>
          </w:tblCellMar>
        </w:tblPrEx>
        <w:trPr>
          <w:trHeight w:val="80" w:hRule="atLeast"/>
          <w:jc w:val="center"/>
        </w:trPr>
        <w:tc>
          <w:tcPr>
            <w:tcW w:w="5000" w:type="pct"/>
            <w:gridSpan w:val="8"/>
            <w:tcBorders>
              <w:top w:val="nil"/>
              <w:left w:val="nil"/>
              <w:bottom w:val="nil"/>
              <w:right w:val="nil"/>
            </w:tcBorders>
            <w:shd w:val="clear" w:color="000000" w:fill="FFFFFF"/>
            <w:vAlign w:val="center"/>
          </w:tcPr>
          <w:p>
            <w:pPr>
              <w:keepNext w:val="0"/>
              <w:keepLines w:val="0"/>
              <w:pageBreakBefore w:val="0"/>
              <w:kinsoku/>
              <w:wordWrap/>
              <w:overflowPunct/>
              <w:topLinePunct w:val="0"/>
              <w:autoSpaceDE/>
              <w:autoSpaceDN/>
              <w:bidi w:val="0"/>
              <w:spacing w:beforeAutospacing="0" w:afterAutospacing="0" w:line="38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 xml:space="preserve">项目名称：                                           </w:t>
            </w:r>
          </w:p>
        </w:tc>
      </w:tr>
      <w:tr>
        <w:tblPrEx>
          <w:tblCellMar>
            <w:top w:w="0" w:type="dxa"/>
            <w:left w:w="108" w:type="dxa"/>
            <w:bottom w:w="0" w:type="dxa"/>
            <w:right w:w="108" w:type="dxa"/>
          </w:tblCellMar>
        </w:tblPrEx>
        <w:trPr>
          <w:trHeight w:val="739" w:hRule="atLeast"/>
          <w:jc w:val="center"/>
        </w:trPr>
        <w:tc>
          <w:tcPr>
            <w:tcW w:w="3459" w:type="pct"/>
            <w:gridSpan w:val="4"/>
            <w:tcBorders>
              <w:top w:val="single" w:color="auto" w:sz="4" w:space="0"/>
              <w:left w:val="single" w:color="auto" w:sz="4" w:space="0"/>
              <w:bottom w:val="single" w:color="auto" w:sz="4" w:space="0"/>
              <w:right w:val="single" w:color="auto" w:sz="4" w:space="0"/>
              <w:tl2br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0" w:firstLineChars="2000"/>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供应商名称</w:t>
            </w:r>
          </w:p>
          <w:p>
            <w:pPr>
              <w:keepNext w:val="0"/>
              <w:keepLines w:val="0"/>
              <w:pageBreakBefore w:val="0"/>
              <w:kinsoku/>
              <w:wordWrap/>
              <w:overflowPunct/>
              <w:topLinePunct w:val="0"/>
              <w:autoSpaceDE/>
              <w:autoSpaceDN/>
              <w:bidi w:val="0"/>
              <w:adjustRightInd w:val="0"/>
              <w:snapToGrid w:val="0"/>
              <w:spacing w:beforeAutospacing="0" w:afterAutospacing="0" w:line="38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评分项及评分标准</w:t>
            </w:r>
          </w:p>
        </w:tc>
        <w:tc>
          <w:tcPr>
            <w:tcW w:w="395"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lang w:eastAsia="zh-CN"/>
              </w:rPr>
              <w:t>供应商</w:t>
            </w:r>
            <w:r>
              <w:rPr>
                <w:rFonts w:hint="eastAsia" w:ascii="仿宋_GB2312" w:hAnsi="仿宋_GB2312" w:eastAsia="仿宋_GB2312" w:cs="仿宋_GB2312"/>
                <w:color w:val="auto"/>
                <w:sz w:val="21"/>
                <w:szCs w:val="21"/>
              </w:rPr>
              <w:t>1</w:t>
            </w:r>
          </w:p>
        </w:tc>
        <w:tc>
          <w:tcPr>
            <w:tcW w:w="369"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lang w:eastAsia="zh-CN"/>
              </w:rPr>
              <w:t>供应商</w:t>
            </w:r>
            <w:r>
              <w:rPr>
                <w:rFonts w:hint="eastAsia" w:ascii="仿宋_GB2312" w:hAnsi="仿宋_GB2312" w:eastAsia="仿宋_GB2312" w:cs="仿宋_GB2312"/>
                <w:color w:val="auto"/>
                <w:sz w:val="21"/>
                <w:szCs w:val="21"/>
              </w:rPr>
              <w:t>2</w:t>
            </w:r>
          </w:p>
        </w:tc>
        <w:tc>
          <w:tcPr>
            <w:tcW w:w="359"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lang w:eastAsia="zh-CN"/>
              </w:rPr>
              <w:t>供应商</w:t>
            </w:r>
            <w:r>
              <w:rPr>
                <w:rFonts w:hint="eastAsia" w:ascii="仿宋_GB2312" w:hAnsi="仿宋_GB2312" w:eastAsia="仿宋_GB2312" w:cs="仿宋_GB2312"/>
                <w:color w:val="auto"/>
                <w:sz w:val="21"/>
                <w:szCs w:val="21"/>
              </w:rPr>
              <w:t>3</w:t>
            </w:r>
          </w:p>
        </w:tc>
        <w:tc>
          <w:tcPr>
            <w:tcW w:w="416"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lang w:eastAsia="zh-CN"/>
              </w:rPr>
              <w:t>供应商</w:t>
            </w:r>
            <w:r>
              <w:rPr>
                <w:rFonts w:hint="eastAsia" w:ascii="仿宋_GB2312" w:hAnsi="仿宋_GB2312" w:eastAsia="仿宋_GB2312" w:cs="仿宋_GB2312"/>
                <w:color w:val="auto"/>
                <w:sz w:val="21"/>
                <w:szCs w:val="21"/>
              </w:rPr>
              <w:t>4</w:t>
            </w:r>
          </w:p>
        </w:tc>
      </w:tr>
      <w:tr>
        <w:tblPrEx>
          <w:tblCellMar>
            <w:top w:w="0" w:type="dxa"/>
            <w:left w:w="108" w:type="dxa"/>
            <w:bottom w:w="0" w:type="dxa"/>
            <w:right w:w="108" w:type="dxa"/>
          </w:tblCellMar>
        </w:tblPrEx>
        <w:trPr>
          <w:trHeight w:val="810" w:hRule="atLeast"/>
          <w:jc w:val="center"/>
        </w:trPr>
        <w:tc>
          <w:tcPr>
            <w:tcW w:w="552" w:type="pct"/>
            <w:tcBorders>
              <w:top w:val="nil"/>
              <w:left w:val="single" w:color="auto" w:sz="4" w:space="0"/>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 xml:space="preserve">价格分 </w:t>
            </w:r>
            <w:r>
              <w:rPr>
                <w:rFonts w:hint="eastAsia" w:ascii="仿宋_GB2312" w:hAnsi="仿宋_GB2312" w:eastAsia="仿宋_GB2312" w:cs="仿宋_GB2312"/>
                <w:color w:val="auto"/>
                <w:sz w:val="21"/>
                <w:szCs w:val="21"/>
              </w:rPr>
              <w:br w:type="textWrapping"/>
            </w:r>
            <w:r>
              <w:rPr>
                <w:rFonts w:hint="eastAsia" w:ascii="仿宋_GB2312" w:hAnsi="仿宋_GB2312" w:eastAsia="仿宋_GB2312" w:cs="仿宋_GB2312"/>
                <w:color w:val="auto"/>
                <w:sz w:val="21"/>
                <w:szCs w:val="21"/>
              </w:rPr>
              <w:t>（</w:t>
            </w:r>
            <w:r>
              <w:rPr>
                <w:rFonts w:hint="eastAsia" w:ascii="仿宋_GB2312" w:hAnsi="仿宋_GB2312" w:eastAsia="仿宋_GB2312" w:cs="仿宋_GB2312"/>
                <w:color w:val="auto"/>
                <w:sz w:val="21"/>
                <w:szCs w:val="21"/>
                <w:lang w:val="en-US" w:eastAsia="zh-CN"/>
              </w:rPr>
              <w:t>40</w:t>
            </w:r>
            <w:r>
              <w:rPr>
                <w:rFonts w:hint="eastAsia" w:ascii="仿宋_GB2312" w:hAnsi="仿宋_GB2312" w:eastAsia="仿宋_GB2312" w:cs="仿宋_GB2312"/>
                <w:color w:val="auto"/>
                <w:sz w:val="21"/>
                <w:szCs w:val="21"/>
              </w:rPr>
              <w:t>分）</w:t>
            </w:r>
          </w:p>
        </w:tc>
        <w:tc>
          <w:tcPr>
            <w:tcW w:w="2391" w:type="pct"/>
            <w:gridSpan w:val="2"/>
            <w:tcBorders>
              <w:top w:val="nil"/>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spacing w:beforeAutospacing="0" w:afterAutospacing="0" w:line="38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报价得分=（基准价/</w:t>
            </w:r>
            <w:r>
              <w:rPr>
                <w:rFonts w:hint="eastAsia" w:ascii="仿宋_GB2312" w:hAnsi="仿宋_GB2312" w:eastAsia="仿宋_GB2312" w:cs="仿宋_GB2312"/>
                <w:color w:val="auto"/>
                <w:sz w:val="21"/>
                <w:szCs w:val="21"/>
                <w:lang w:eastAsia="zh-CN"/>
              </w:rPr>
              <w:t>供应商</w:t>
            </w:r>
            <w:r>
              <w:rPr>
                <w:rFonts w:hint="eastAsia" w:ascii="仿宋_GB2312" w:hAnsi="仿宋_GB2312" w:eastAsia="仿宋_GB2312" w:cs="仿宋_GB2312"/>
                <w:color w:val="auto"/>
                <w:sz w:val="21"/>
                <w:szCs w:val="21"/>
              </w:rPr>
              <w:t>报价）×价格权值×100</w:t>
            </w:r>
          </w:p>
        </w:tc>
        <w:tc>
          <w:tcPr>
            <w:tcW w:w="515" w:type="pct"/>
            <w:tcBorders>
              <w:top w:val="nil"/>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0-</w:t>
            </w:r>
            <w:r>
              <w:rPr>
                <w:rFonts w:hint="eastAsia" w:ascii="仿宋_GB2312" w:hAnsi="仿宋_GB2312" w:eastAsia="仿宋_GB2312" w:cs="仿宋_GB2312"/>
                <w:color w:val="auto"/>
                <w:sz w:val="21"/>
                <w:szCs w:val="21"/>
                <w:lang w:val="en-US" w:eastAsia="zh-CN"/>
              </w:rPr>
              <w:t>40</w:t>
            </w:r>
            <w:r>
              <w:rPr>
                <w:rFonts w:hint="eastAsia" w:ascii="仿宋_GB2312" w:hAnsi="仿宋_GB2312" w:eastAsia="仿宋_GB2312" w:cs="仿宋_GB2312"/>
                <w:color w:val="auto"/>
                <w:sz w:val="21"/>
                <w:szCs w:val="21"/>
              </w:rPr>
              <w:t>分</w:t>
            </w:r>
          </w:p>
        </w:tc>
        <w:tc>
          <w:tcPr>
            <w:tcW w:w="395" w:type="pct"/>
            <w:tcBorders>
              <w:top w:val="nil"/>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69" w:type="pct"/>
            <w:tcBorders>
              <w:top w:val="nil"/>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59" w:type="pct"/>
            <w:tcBorders>
              <w:top w:val="nil"/>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416" w:type="pct"/>
            <w:tcBorders>
              <w:top w:val="nil"/>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r>
      <w:tr>
        <w:tblPrEx>
          <w:tblCellMar>
            <w:top w:w="0" w:type="dxa"/>
            <w:left w:w="108" w:type="dxa"/>
            <w:bottom w:w="0" w:type="dxa"/>
            <w:right w:w="108" w:type="dxa"/>
          </w:tblCellMar>
        </w:tblPrEx>
        <w:trPr>
          <w:trHeight w:val="286" w:hRule="atLeast"/>
          <w:jc w:val="center"/>
        </w:trPr>
        <w:tc>
          <w:tcPr>
            <w:tcW w:w="552" w:type="pct"/>
            <w:vMerge w:val="restart"/>
            <w:tcBorders>
              <w:top w:val="nil"/>
              <w:left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技术分</w:t>
            </w:r>
            <w:r>
              <w:rPr>
                <w:rFonts w:hint="eastAsia" w:ascii="仿宋_GB2312" w:hAnsi="仿宋_GB2312" w:eastAsia="仿宋_GB2312" w:cs="仿宋_GB2312"/>
                <w:color w:val="auto"/>
                <w:sz w:val="21"/>
                <w:szCs w:val="21"/>
              </w:rPr>
              <w:br w:type="textWrapping"/>
            </w:r>
            <w:r>
              <w:rPr>
                <w:rFonts w:hint="eastAsia" w:ascii="仿宋_GB2312" w:hAnsi="仿宋_GB2312" w:eastAsia="仿宋_GB2312" w:cs="仿宋_GB2312"/>
                <w:color w:val="auto"/>
                <w:sz w:val="21"/>
                <w:szCs w:val="21"/>
              </w:rPr>
              <w:t>（</w:t>
            </w:r>
            <w:r>
              <w:rPr>
                <w:rFonts w:hint="eastAsia" w:ascii="仿宋_GB2312" w:hAnsi="仿宋_GB2312" w:eastAsia="仿宋_GB2312" w:cs="仿宋_GB2312"/>
                <w:color w:val="auto"/>
                <w:sz w:val="21"/>
                <w:szCs w:val="21"/>
                <w:lang w:val="en-US" w:eastAsia="zh-CN"/>
              </w:rPr>
              <w:t>20</w:t>
            </w:r>
            <w:r>
              <w:rPr>
                <w:rFonts w:hint="eastAsia" w:ascii="仿宋_GB2312" w:hAnsi="仿宋_GB2312" w:eastAsia="仿宋_GB2312" w:cs="仿宋_GB2312"/>
                <w:color w:val="auto"/>
                <w:sz w:val="21"/>
                <w:szCs w:val="21"/>
              </w:rPr>
              <w:t>分）</w:t>
            </w:r>
          </w:p>
        </w:tc>
        <w:tc>
          <w:tcPr>
            <w:tcW w:w="466" w:type="pct"/>
            <w:tcBorders>
              <w:top w:val="nil"/>
              <w:left w:val="nil"/>
              <w:bottom w:val="single" w:color="auto" w:sz="4" w:space="0"/>
              <w:right w:val="single" w:color="auto" w:sz="4" w:space="0"/>
            </w:tcBorders>
            <w:shd w:val="clear" w:color="000000" w:fill="FFFFFF"/>
            <w:vAlign w:val="center"/>
          </w:tcPr>
          <w:p>
            <w:pPr>
              <w:keepNext w:val="0"/>
              <w:keepLines w:val="0"/>
              <w:pageBreakBefore w:val="0"/>
              <w:widowControl/>
              <w:suppressLineNumbers w:val="0"/>
              <w:kinsoku/>
              <w:wordWrap/>
              <w:overflowPunct/>
              <w:topLinePunct w:val="0"/>
              <w:autoSpaceDE/>
              <w:autoSpaceDN/>
              <w:bidi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kern w:val="0"/>
                <w:sz w:val="21"/>
                <w:szCs w:val="21"/>
                <w:lang w:val="en-US" w:eastAsia="zh-CN" w:bidi="ar"/>
              </w:rPr>
              <w:t>产品设计</w:t>
            </w:r>
          </w:p>
        </w:tc>
        <w:tc>
          <w:tcPr>
            <w:tcW w:w="1925" w:type="pct"/>
            <w:tcBorders>
              <w:top w:val="nil"/>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numPr>
                <w:ilvl w:val="-1"/>
                <w:numId w:val="0"/>
              </w:numPr>
              <w:suppressLineNumbers w:val="0"/>
              <w:kinsoku/>
              <w:wordWrap/>
              <w:overflowPunct/>
              <w:topLinePunct w:val="0"/>
              <w:autoSpaceDE/>
              <w:autoSpaceDN/>
              <w:bidi w:val="0"/>
              <w:adjustRightInd w:val="0"/>
              <w:snapToGrid w:val="0"/>
              <w:spacing w:beforeAutospacing="0" w:afterAutospacing="0" w:line="380" w:lineRule="exact"/>
              <w:ind w:right="0"/>
              <w:textAlignment w:val="auto"/>
              <w:rPr>
                <w:rFonts w:hint="eastAsia" w:ascii="仿宋_GB2312" w:hAnsi="仿宋_GB2312" w:eastAsia="仿宋_GB2312" w:cs="仿宋_GB2312"/>
                <w:color w:val="auto"/>
                <w:kern w:val="2"/>
                <w:sz w:val="21"/>
                <w:szCs w:val="21"/>
                <w:lang w:val="en-US"/>
              </w:rPr>
            </w:pPr>
            <w:r>
              <w:rPr>
                <w:rFonts w:hint="eastAsia" w:ascii="仿宋_GB2312" w:hAnsi="仿宋_GB2312" w:eastAsia="仿宋_GB2312" w:cs="仿宋_GB2312"/>
                <w:color w:val="auto"/>
                <w:kern w:val="2"/>
                <w:sz w:val="21"/>
                <w:szCs w:val="21"/>
                <w:lang w:val="en-US" w:eastAsia="zh-CN"/>
              </w:rPr>
              <w:t>供应商根据对本项目的理解设计钢笔水彩手绘原创画面：</w:t>
            </w:r>
          </w:p>
          <w:p>
            <w:pPr>
              <w:keepNext w:val="0"/>
              <w:keepLines w:val="0"/>
              <w:pageBreakBefore w:val="0"/>
              <w:widowControl/>
              <w:numPr>
                <w:ilvl w:val="-1"/>
                <w:numId w:val="0"/>
              </w:numPr>
              <w:suppressLineNumbers w:val="0"/>
              <w:kinsoku/>
              <w:wordWrap/>
              <w:overflowPunct/>
              <w:topLinePunct w:val="0"/>
              <w:autoSpaceDE/>
              <w:autoSpaceDN/>
              <w:bidi w:val="0"/>
              <w:adjustRightInd w:val="0"/>
              <w:snapToGrid w:val="0"/>
              <w:spacing w:beforeAutospacing="0" w:afterAutospacing="0" w:line="380" w:lineRule="exact"/>
              <w:ind w:right="0"/>
              <w:textAlignment w:val="auto"/>
              <w:rPr>
                <w:rFonts w:hint="eastAsia" w:ascii="仿宋_GB2312" w:hAnsi="仿宋_GB2312" w:eastAsia="仿宋_GB2312" w:cs="仿宋_GB2312"/>
                <w:color w:val="auto"/>
                <w:kern w:val="2"/>
                <w:sz w:val="21"/>
                <w:szCs w:val="21"/>
                <w:lang w:val="en-US"/>
              </w:rPr>
            </w:pPr>
            <w:r>
              <w:rPr>
                <w:rFonts w:hint="eastAsia" w:ascii="仿宋_GB2312" w:hAnsi="仿宋_GB2312" w:eastAsia="仿宋_GB2312" w:cs="仿宋_GB2312"/>
                <w:color w:val="auto"/>
                <w:kern w:val="2"/>
                <w:sz w:val="21"/>
                <w:szCs w:val="21"/>
                <w:lang w:val="en-US" w:eastAsia="zh-CN"/>
              </w:rPr>
              <w:t>1.设计新颖、极富有创意（5-4分）</w:t>
            </w:r>
          </w:p>
          <w:p>
            <w:pPr>
              <w:keepNext w:val="0"/>
              <w:keepLines w:val="0"/>
              <w:pageBreakBefore w:val="0"/>
              <w:widowControl/>
              <w:numPr>
                <w:ilvl w:val="-1"/>
                <w:numId w:val="0"/>
              </w:numPr>
              <w:suppressLineNumbers w:val="0"/>
              <w:kinsoku/>
              <w:wordWrap/>
              <w:overflowPunct/>
              <w:topLinePunct w:val="0"/>
              <w:autoSpaceDE/>
              <w:autoSpaceDN/>
              <w:bidi w:val="0"/>
              <w:adjustRightInd w:val="0"/>
              <w:snapToGrid w:val="0"/>
              <w:spacing w:beforeAutospacing="0" w:afterAutospacing="0" w:line="380" w:lineRule="exact"/>
              <w:ind w:right="0"/>
              <w:textAlignment w:val="auto"/>
              <w:rPr>
                <w:rFonts w:hint="eastAsia" w:ascii="仿宋_GB2312" w:hAnsi="仿宋_GB2312" w:eastAsia="仿宋_GB2312" w:cs="仿宋_GB2312"/>
                <w:color w:val="auto"/>
                <w:kern w:val="2"/>
                <w:sz w:val="21"/>
                <w:szCs w:val="21"/>
                <w:lang w:val="en-US"/>
              </w:rPr>
            </w:pPr>
            <w:r>
              <w:rPr>
                <w:rFonts w:hint="eastAsia" w:ascii="仿宋_GB2312" w:hAnsi="仿宋_GB2312" w:eastAsia="仿宋_GB2312" w:cs="仿宋_GB2312"/>
                <w:color w:val="auto"/>
                <w:kern w:val="2"/>
                <w:sz w:val="21"/>
                <w:szCs w:val="21"/>
                <w:lang w:val="en-US" w:eastAsia="zh-CN"/>
              </w:rPr>
              <w:t>2.设计新颖、创意一般（3-2分）</w:t>
            </w:r>
          </w:p>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kern w:val="2"/>
                <w:sz w:val="21"/>
                <w:szCs w:val="21"/>
                <w:lang w:val="en-US" w:eastAsia="zh-CN"/>
              </w:rPr>
              <w:t>3.设计一般（1-0分）</w:t>
            </w:r>
          </w:p>
        </w:tc>
        <w:tc>
          <w:tcPr>
            <w:tcW w:w="515" w:type="pct"/>
            <w:tcBorders>
              <w:top w:val="nil"/>
              <w:left w:val="nil"/>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0-</w:t>
            </w:r>
            <w:r>
              <w:rPr>
                <w:rFonts w:hint="eastAsia" w:ascii="仿宋_GB2312" w:hAnsi="仿宋_GB2312" w:eastAsia="仿宋_GB2312" w:cs="仿宋_GB2312"/>
                <w:color w:val="auto"/>
                <w:sz w:val="21"/>
                <w:szCs w:val="21"/>
                <w:lang w:val="en-US" w:eastAsia="zh-CN"/>
              </w:rPr>
              <w:t>5</w:t>
            </w:r>
            <w:r>
              <w:rPr>
                <w:rFonts w:hint="eastAsia" w:ascii="仿宋_GB2312" w:hAnsi="仿宋_GB2312" w:eastAsia="仿宋_GB2312" w:cs="仿宋_GB2312"/>
                <w:color w:val="auto"/>
                <w:sz w:val="21"/>
                <w:szCs w:val="21"/>
              </w:rPr>
              <w:t>分</w:t>
            </w:r>
          </w:p>
        </w:tc>
        <w:tc>
          <w:tcPr>
            <w:tcW w:w="395" w:type="pct"/>
            <w:tcBorders>
              <w:top w:val="nil"/>
              <w:left w:val="nil"/>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69" w:type="pct"/>
            <w:tcBorders>
              <w:top w:val="nil"/>
              <w:left w:val="nil"/>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59" w:type="pct"/>
            <w:tcBorders>
              <w:top w:val="nil"/>
              <w:left w:val="nil"/>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416" w:type="pct"/>
            <w:tcBorders>
              <w:top w:val="nil"/>
              <w:left w:val="nil"/>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r>
      <w:tr>
        <w:tblPrEx>
          <w:tblCellMar>
            <w:top w:w="0" w:type="dxa"/>
            <w:left w:w="108" w:type="dxa"/>
            <w:bottom w:w="0" w:type="dxa"/>
            <w:right w:w="108" w:type="dxa"/>
          </w:tblCellMar>
        </w:tblPrEx>
        <w:trPr>
          <w:trHeight w:val="90" w:hRule="atLeast"/>
          <w:jc w:val="center"/>
        </w:trPr>
        <w:tc>
          <w:tcPr>
            <w:tcW w:w="552" w:type="pct"/>
            <w:vMerge w:val="continue"/>
            <w:tcBorders>
              <w:left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jc w:val="center"/>
              <w:textAlignment w:val="auto"/>
              <w:rPr>
                <w:rFonts w:hint="eastAsia" w:ascii="仿宋_GB2312" w:hAnsi="仿宋_GB2312" w:eastAsia="仿宋_GB2312" w:cs="仿宋_GB2312"/>
                <w:color w:val="auto"/>
                <w:sz w:val="21"/>
                <w:szCs w:val="21"/>
              </w:rPr>
            </w:pPr>
          </w:p>
        </w:tc>
        <w:tc>
          <w:tcPr>
            <w:tcW w:w="466" w:type="pct"/>
            <w:tcBorders>
              <w:top w:val="nil"/>
              <w:left w:val="nil"/>
              <w:bottom w:val="single" w:color="auto" w:sz="4" w:space="0"/>
              <w:right w:val="single" w:color="auto" w:sz="4" w:space="0"/>
            </w:tcBorders>
            <w:shd w:val="clear" w:color="000000" w:fill="FFFFFF"/>
            <w:vAlign w:val="center"/>
          </w:tcPr>
          <w:p>
            <w:pPr>
              <w:keepNext w:val="0"/>
              <w:keepLines w:val="0"/>
              <w:pageBreakBefore w:val="0"/>
              <w:widowControl/>
              <w:suppressLineNumbers w:val="0"/>
              <w:kinsoku/>
              <w:wordWrap/>
              <w:overflowPunct/>
              <w:topLinePunct w:val="0"/>
              <w:autoSpaceDE/>
              <w:autoSpaceDN/>
              <w:bidi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kern w:val="0"/>
                <w:sz w:val="21"/>
                <w:szCs w:val="21"/>
                <w:lang w:val="en-US" w:eastAsia="zh-CN" w:bidi="ar"/>
              </w:rPr>
              <w:t>样品的技术质量水平</w:t>
            </w:r>
          </w:p>
        </w:tc>
        <w:tc>
          <w:tcPr>
            <w:tcW w:w="1925" w:type="pct"/>
            <w:tcBorders>
              <w:top w:val="nil"/>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numPr>
                <w:ilvl w:val="-1"/>
                <w:numId w:val="0"/>
              </w:numPr>
              <w:suppressLineNumbers w:val="0"/>
              <w:kinsoku/>
              <w:wordWrap/>
              <w:overflowPunct/>
              <w:topLinePunct w:val="0"/>
              <w:autoSpaceDE/>
              <w:autoSpaceDN/>
              <w:bidi w:val="0"/>
              <w:adjustRightInd w:val="0"/>
              <w:snapToGrid w:val="0"/>
              <w:spacing w:beforeAutospacing="0" w:afterAutospacing="0" w:line="380" w:lineRule="exact"/>
              <w:ind w:right="0"/>
              <w:textAlignment w:val="auto"/>
              <w:rPr>
                <w:rFonts w:hint="eastAsia" w:ascii="仿宋_GB2312" w:hAnsi="仿宋_GB2312" w:eastAsia="仿宋_GB2312" w:cs="仿宋_GB2312"/>
                <w:color w:val="auto"/>
                <w:kern w:val="2"/>
                <w:sz w:val="21"/>
                <w:szCs w:val="21"/>
                <w:lang w:val="en-US" w:eastAsia="zh-CN"/>
              </w:rPr>
            </w:pPr>
            <w:r>
              <w:rPr>
                <w:rFonts w:hint="eastAsia" w:ascii="仿宋_GB2312" w:hAnsi="仿宋_GB2312" w:eastAsia="仿宋_GB2312" w:cs="仿宋_GB2312"/>
                <w:color w:val="auto"/>
                <w:sz w:val="21"/>
                <w:szCs w:val="21"/>
              </w:rPr>
              <w:t>根据选择用的材料的质量档次、技术含量、环保材料使用比例、新颖程度和技术含量及材料说明</w:t>
            </w:r>
            <w:r>
              <w:rPr>
                <w:rFonts w:hint="eastAsia" w:ascii="仿宋_GB2312" w:hAnsi="仿宋_GB2312" w:eastAsia="仿宋_GB2312" w:cs="仿宋_GB2312"/>
                <w:color w:val="auto"/>
                <w:sz w:val="21"/>
                <w:szCs w:val="21"/>
                <w:lang w:val="en-US" w:eastAsia="zh-CN"/>
              </w:rPr>
              <w:t>等</w:t>
            </w:r>
            <w:r>
              <w:rPr>
                <w:rFonts w:hint="eastAsia" w:ascii="仿宋_GB2312" w:hAnsi="仿宋_GB2312" w:eastAsia="仿宋_GB2312" w:cs="仿宋_GB2312"/>
                <w:color w:val="auto"/>
                <w:kern w:val="2"/>
                <w:sz w:val="21"/>
                <w:szCs w:val="21"/>
                <w:lang w:val="en-US" w:eastAsia="zh-CN"/>
              </w:rPr>
              <w:t>，磋商小组进行横向比较；</w:t>
            </w:r>
          </w:p>
          <w:p>
            <w:pPr>
              <w:keepNext w:val="0"/>
              <w:keepLines w:val="0"/>
              <w:pageBreakBefore w:val="0"/>
              <w:widowControl/>
              <w:numPr>
                <w:ilvl w:val="-1"/>
                <w:numId w:val="0"/>
              </w:numPr>
              <w:suppressLineNumbers w:val="0"/>
              <w:kinsoku/>
              <w:wordWrap/>
              <w:overflowPunct/>
              <w:topLinePunct w:val="0"/>
              <w:autoSpaceDE/>
              <w:autoSpaceDN/>
              <w:bidi w:val="0"/>
              <w:adjustRightInd w:val="0"/>
              <w:snapToGrid w:val="0"/>
              <w:spacing w:beforeAutospacing="0" w:afterAutospacing="0" w:line="380" w:lineRule="exact"/>
              <w:ind w:right="0"/>
              <w:textAlignment w:val="auto"/>
              <w:rPr>
                <w:rFonts w:hint="eastAsia" w:ascii="仿宋_GB2312" w:hAnsi="仿宋_GB2312" w:eastAsia="仿宋_GB2312" w:cs="仿宋_GB2312"/>
                <w:color w:val="auto"/>
                <w:kern w:val="2"/>
                <w:sz w:val="21"/>
                <w:szCs w:val="21"/>
                <w:lang w:val="en-US" w:eastAsia="zh-CN"/>
              </w:rPr>
            </w:pPr>
            <w:r>
              <w:rPr>
                <w:rFonts w:hint="eastAsia" w:ascii="仿宋_GB2312" w:hAnsi="仿宋_GB2312" w:eastAsia="仿宋_GB2312" w:cs="仿宋_GB2312"/>
                <w:color w:val="auto"/>
                <w:kern w:val="2"/>
                <w:sz w:val="21"/>
                <w:szCs w:val="21"/>
                <w:lang w:val="en-US" w:eastAsia="zh-CN"/>
              </w:rPr>
              <w:t>样品质量、工艺好（5-4分）</w:t>
            </w:r>
          </w:p>
          <w:p>
            <w:pPr>
              <w:keepNext w:val="0"/>
              <w:keepLines w:val="0"/>
              <w:pageBreakBefore w:val="0"/>
              <w:widowControl/>
              <w:numPr>
                <w:ilvl w:val="-1"/>
                <w:numId w:val="0"/>
              </w:numPr>
              <w:suppressLineNumbers w:val="0"/>
              <w:kinsoku/>
              <w:wordWrap/>
              <w:overflowPunct/>
              <w:topLinePunct w:val="0"/>
              <w:autoSpaceDE/>
              <w:autoSpaceDN/>
              <w:bidi w:val="0"/>
              <w:adjustRightInd w:val="0"/>
              <w:snapToGrid w:val="0"/>
              <w:spacing w:beforeAutospacing="0" w:afterAutospacing="0" w:line="380" w:lineRule="exact"/>
              <w:ind w:right="0"/>
              <w:textAlignment w:val="auto"/>
              <w:rPr>
                <w:rFonts w:hint="eastAsia" w:ascii="仿宋_GB2312" w:hAnsi="仿宋_GB2312" w:eastAsia="仿宋_GB2312" w:cs="仿宋_GB2312"/>
                <w:color w:val="auto"/>
                <w:kern w:val="2"/>
                <w:sz w:val="21"/>
                <w:szCs w:val="21"/>
                <w:lang w:val="en-US" w:eastAsia="zh-CN"/>
              </w:rPr>
            </w:pPr>
            <w:r>
              <w:rPr>
                <w:rFonts w:hint="eastAsia" w:ascii="仿宋_GB2312" w:hAnsi="仿宋_GB2312" w:eastAsia="仿宋_GB2312" w:cs="仿宋_GB2312"/>
                <w:color w:val="auto"/>
                <w:kern w:val="2"/>
                <w:sz w:val="21"/>
                <w:szCs w:val="21"/>
                <w:lang w:val="en-US" w:eastAsia="zh-CN"/>
              </w:rPr>
              <w:t>样品质量、工艺比较好（3-2分）</w:t>
            </w:r>
          </w:p>
          <w:p>
            <w:pPr>
              <w:keepNext w:val="0"/>
              <w:keepLines w:val="0"/>
              <w:pageBreakBefore w:val="0"/>
              <w:widowControl/>
              <w:numPr>
                <w:ilvl w:val="-1"/>
                <w:numId w:val="0"/>
              </w:numPr>
              <w:suppressLineNumbers w:val="0"/>
              <w:kinsoku/>
              <w:wordWrap/>
              <w:overflowPunct/>
              <w:topLinePunct w:val="0"/>
              <w:autoSpaceDE/>
              <w:autoSpaceDN/>
              <w:bidi w:val="0"/>
              <w:adjustRightInd w:val="0"/>
              <w:snapToGrid w:val="0"/>
              <w:spacing w:beforeAutospacing="0" w:afterAutospacing="0" w:line="380" w:lineRule="exact"/>
              <w:ind w:right="0"/>
              <w:textAlignment w:val="auto"/>
              <w:rPr>
                <w:rFonts w:hint="eastAsia" w:ascii="仿宋_GB2312" w:hAnsi="仿宋_GB2312" w:eastAsia="仿宋_GB2312" w:cs="仿宋_GB2312"/>
                <w:color w:val="auto"/>
                <w:kern w:val="2"/>
                <w:sz w:val="21"/>
                <w:szCs w:val="21"/>
                <w:lang w:val="en-US" w:eastAsia="zh-CN"/>
              </w:rPr>
            </w:pPr>
            <w:r>
              <w:rPr>
                <w:rFonts w:hint="eastAsia" w:ascii="仿宋_GB2312" w:hAnsi="仿宋_GB2312" w:eastAsia="仿宋_GB2312" w:cs="仿宋_GB2312"/>
                <w:color w:val="auto"/>
                <w:kern w:val="2"/>
                <w:sz w:val="21"/>
                <w:szCs w:val="21"/>
                <w:lang w:val="en-US" w:eastAsia="zh-CN"/>
              </w:rPr>
              <w:t>样品质量、工艺一般（1-0分）</w:t>
            </w:r>
          </w:p>
        </w:tc>
        <w:tc>
          <w:tcPr>
            <w:tcW w:w="515"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0-</w:t>
            </w:r>
            <w:r>
              <w:rPr>
                <w:rFonts w:hint="eastAsia" w:ascii="仿宋_GB2312" w:hAnsi="仿宋_GB2312" w:eastAsia="仿宋_GB2312" w:cs="仿宋_GB2312"/>
                <w:color w:val="auto"/>
                <w:sz w:val="21"/>
                <w:szCs w:val="21"/>
                <w:lang w:val="en-US" w:eastAsia="zh-CN"/>
              </w:rPr>
              <w:t>5</w:t>
            </w:r>
            <w:r>
              <w:rPr>
                <w:rFonts w:hint="eastAsia" w:ascii="仿宋_GB2312" w:hAnsi="仿宋_GB2312" w:eastAsia="仿宋_GB2312" w:cs="仿宋_GB2312"/>
                <w:color w:val="auto"/>
                <w:sz w:val="21"/>
                <w:szCs w:val="21"/>
              </w:rPr>
              <w:t>分</w:t>
            </w:r>
          </w:p>
        </w:tc>
        <w:tc>
          <w:tcPr>
            <w:tcW w:w="395"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69"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59"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416"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r>
      <w:tr>
        <w:tblPrEx>
          <w:tblCellMar>
            <w:top w:w="0" w:type="dxa"/>
            <w:left w:w="108" w:type="dxa"/>
            <w:bottom w:w="0" w:type="dxa"/>
            <w:right w:w="108" w:type="dxa"/>
          </w:tblCellMar>
        </w:tblPrEx>
        <w:trPr>
          <w:trHeight w:val="102" w:hRule="atLeast"/>
          <w:jc w:val="center"/>
        </w:trPr>
        <w:tc>
          <w:tcPr>
            <w:tcW w:w="552" w:type="pct"/>
            <w:vMerge w:val="continue"/>
            <w:tcBorders>
              <w:left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jc w:val="center"/>
              <w:textAlignment w:val="auto"/>
              <w:rPr>
                <w:rFonts w:hint="eastAsia" w:ascii="仿宋_GB2312" w:hAnsi="仿宋_GB2312" w:eastAsia="仿宋_GB2312" w:cs="仿宋_GB2312"/>
                <w:color w:val="auto"/>
                <w:sz w:val="21"/>
                <w:szCs w:val="21"/>
              </w:rPr>
            </w:pPr>
          </w:p>
        </w:tc>
        <w:tc>
          <w:tcPr>
            <w:tcW w:w="466" w:type="pct"/>
            <w:tcBorders>
              <w:top w:val="nil"/>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服务方案</w:t>
            </w:r>
          </w:p>
        </w:tc>
        <w:tc>
          <w:tcPr>
            <w:tcW w:w="1925" w:type="pct"/>
            <w:tcBorders>
              <w:top w:val="nil"/>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numPr>
                <w:ilvl w:val="-1"/>
                <w:numId w:val="0"/>
              </w:numPr>
              <w:suppressLineNumbers w:val="0"/>
              <w:kinsoku/>
              <w:wordWrap/>
              <w:overflowPunct/>
              <w:topLinePunct w:val="0"/>
              <w:autoSpaceDE/>
              <w:autoSpaceDN/>
              <w:bidi w:val="0"/>
              <w:adjustRightInd w:val="0"/>
              <w:snapToGrid w:val="0"/>
              <w:spacing w:beforeAutospacing="0" w:afterAutospacing="0" w:line="380" w:lineRule="exact"/>
              <w:ind w:right="0"/>
              <w:textAlignment w:val="auto"/>
              <w:rPr>
                <w:rFonts w:hint="eastAsia" w:ascii="仿宋_GB2312" w:hAnsi="仿宋_GB2312" w:eastAsia="仿宋_GB2312" w:cs="仿宋_GB2312"/>
                <w:color w:val="auto"/>
                <w:kern w:val="2"/>
                <w:sz w:val="21"/>
                <w:szCs w:val="21"/>
                <w:lang w:val="en-US" w:eastAsia="zh-CN"/>
              </w:rPr>
            </w:pPr>
            <w:r>
              <w:rPr>
                <w:rFonts w:hint="eastAsia" w:ascii="仿宋_GB2312" w:hAnsi="仿宋_GB2312" w:eastAsia="仿宋_GB2312" w:cs="仿宋_GB2312"/>
                <w:color w:val="auto"/>
                <w:kern w:val="2"/>
                <w:sz w:val="21"/>
                <w:szCs w:val="21"/>
                <w:lang w:val="en-US" w:eastAsia="zh-CN"/>
              </w:rPr>
              <w:t>供应商根据对本项目的理解制定针对性服务方案</w:t>
            </w:r>
          </w:p>
        </w:tc>
        <w:tc>
          <w:tcPr>
            <w:tcW w:w="515"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0-</w:t>
            </w:r>
            <w:r>
              <w:rPr>
                <w:rFonts w:hint="eastAsia" w:ascii="仿宋_GB2312" w:hAnsi="仿宋_GB2312" w:eastAsia="仿宋_GB2312" w:cs="仿宋_GB2312"/>
                <w:color w:val="auto"/>
                <w:sz w:val="21"/>
                <w:szCs w:val="21"/>
                <w:lang w:val="en-US" w:eastAsia="zh-CN"/>
              </w:rPr>
              <w:t>5</w:t>
            </w:r>
            <w:r>
              <w:rPr>
                <w:rFonts w:hint="eastAsia" w:ascii="仿宋_GB2312" w:hAnsi="仿宋_GB2312" w:eastAsia="仿宋_GB2312" w:cs="仿宋_GB2312"/>
                <w:color w:val="auto"/>
                <w:sz w:val="21"/>
                <w:szCs w:val="21"/>
              </w:rPr>
              <w:t>分</w:t>
            </w:r>
          </w:p>
        </w:tc>
        <w:tc>
          <w:tcPr>
            <w:tcW w:w="395"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69"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59"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416"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r>
      <w:tr>
        <w:tblPrEx>
          <w:tblCellMar>
            <w:top w:w="0" w:type="dxa"/>
            <w:left w:w="108" w:type="dxa"/>
            <w:bottom w:w="0" w:type="dxa"/>
            <w:right w:w="108" w:type="dxa"/>
          </w:tblCellMar>
        </w:tblPrEx>
        <w:trPr>
          <w:trHeight w:val="102" w:hRule="atLeast"/>
          <w:jc w:val="center"/>
        </w:trPr>
        <w:tc>
          <w:tcPr>
            <w:tcW w:w="552" w:type="pct"/>
            <w:vMerge w:val="continue"/>
            <w:tcBorders>
              <w:left w:val="single" w:color="auto" w:sz="4" w:space="0"/>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jc w:val="center"/>
              <w:textAlignment w:val="auto"/>
              <w:rPr>
                <w:rFonts w:hint="eastAsia" w:ascii="仿宋_GB2312" w:hAnsi="仿宋_GB2312" w:eastAsia="仿宋_GB2312" w:cs="仿宋_GB2312"/>
                <w:color w:val="auto"/>
                <w:sz w:val="21"/>
                <w:szCs w:val="21"/>
              </w:rPr>
            </w:pPr>
          </w:p>
        </w:tc>
        <w:tc>
          <w:tcPr>
            <w:tcW w:w="466" w:type="pct"/>
            <w:tcBorders>
              <w:top w:val="nil"/>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应急配送方案</w:t>
            </w:r>
          </w:p>
        </w:tc>
        <w:tc>
          <w:tcPr>
            <w:tcW w:w="1925" w:type="pct"/>
            <w:tcBorders>
              <w:top w:val="nil"/>
              <w:left w:val="single" w:color="auto" w:sz="4" w:space="0"/>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如遇特殊情况，供应商制定应急配送方案</w:t>
            </w:r>
          </w:p>
        </w:tc>
        <w:tc>
          <w:tcPr>
            <w:tcW w:w="515"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0-</w:t>
            </w:r>
            <w:r>
              <w:rPr>
                <w:rFonts w:hint="eastAsia" w:ascii="仿宋_GB2312" w:hAnsi="仿宋_GB2312" w:eastAsia="仿宋_GB2312" w:cs="仿宋_GB2312"/>
                <w:color w:val="auto"/>
                <w:sz w:val="21"/>
                <w:szCs w:val="21"/>
                <w:lang w:val="en-US" w:eastAsia="zh-CN"/>
              </w:rPr>
              <w:t>5</w:t>
            </w:r>
            <w:r>
              <w:rPr>
                <w:rFonts w:hint="eastAsia" w:ascii="仿宋_GB2312" w:hAnsi="仿宋_GB2312" w:eastAsia="仿宋_GB2312" w:cs="仿宋_GB2312"/>
                <w:color w:val="auto"/>
                <w:sz w:val="21"/>
                <w:szCs w:val="21"/>
              </w:rPr>
              <w:t>分</w:t>
            </w:r>
          </w:p>
        </w:tc>
        <w:tc>
          <w:tcPr>
            <w:tcW w:w="395"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69"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59"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416"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r>
      <w:tr>
        <w:tblPrEx>
          <w:tblCellMar>
            <w:top w:w="0" w:type="dxa"/>
            <w:left w:w="108" w:type="dxa"/>
            <w:bottom w:w="0" w:type="dxa"/>
            <w:right w:w="108" w:type="dxa"/>
          </w:tblCellMar>
        </w:tblPrEx>
        <w:trPr>
          <w:trHeight w:val="170" w:hRule="atLeast"/>
          <w:jc w:val="center"/>
        </w:trPr>
        <w:tc>
          <w:tcPr>
            <w:tcW w:w="552" w:type="pct"/>
            <w:vMerge w:val="restart"/>
            <w:tcBorders>
              <w:top w:val="single" w:color="auto" w:sz="4" w:space="0"/>
              <w:left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商务分</w:t>
            </w:r>
            <w:r>
              <w:rPr>
                <w:rFonts w:hint="eastAsia" w:ascii="仿宋_GB2312" w:hAnsi="仿宋_GB2312" w:eastAsia="仿宋_GB2312" w:cs="仿宋_GB2312"/>
                <w:color w:val="auto"/>
                <w:sz w:val="21"/>
                <w:szCs w:val="21"/>
              </w:rPr>
              <w:br w:type="textWrapping"/>
            </w:r>
            <w:r>
              <w:rPr>
                <w:rFonts w:hint="eastAsia" w:ascii="仿宋_GB2312" w:hAnsi="仿宋_GB2312" w:eastAsia="仿宋_GB2312" w:cs="仿宋_GB2312"/>
                <w:color w:val="auto"/>
                <w:sz w:val="21"/>
                <w:szCs w:val="21"/>
              </w:rPr>
              <w:t>（</w:t>
            </w:r>
            <w:r>
              <w:rPr>
                <w:rFonts w:hint="eastAsia" w:ascii="仿宋_GB2312" w:hAnsi="仿宋_GB2312" w:eastAsia="仿宋_GB2312" w:cs="仿宋_GB2312"/>
                <w:color w:val="auto"/>
                <w:sz w:val="21"/>
                <w:szCs w:val="21"/>
                <w:lang w:val="en-US" w:eastAsia="zh-CN"/>
              </w:rPr>
              <w:t>40</w:t>
            </w:r>
            <w:r>
              <w:rPr>
                <w:rFonts w:hint="eastAsia" w:ascii="仿宋_GB2312" w:hAnsi="仿宋_GB2312" w:eastAsia="仿宋_GB2312" w:cs="仿宋_GB2312"/>
                <w:color w:val="auto"/>
                <w:sz w:val="21"/>
                <w:szCs w:val="21"/>
              </w:rPr>
              <w:t>分）</w:t>
            </w:r>
          </w:p>
        </w:tc>
        <w:tc>
          <w:tcPr>
            <w:tcW w:w="466"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业绩</w:t>
            </w:r>
          </w:p>
        </w:tc>
        <w:tc>
          <w:tcPr>
            <w:tcW w:w="1925"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kern w:val="2"/>
                <w:sz w:val="21"/>
                <w:szCs w:val="21"/>
                <w:lang w:val="en-US" w:eastAsia="zh-CN"/>
              </w:rPr>
              <w:t>供应商需提供2017年1月至今的类似业绩，每提供一个业绩得5分，最高分20分。需提供合同复印件教改公章作为佐证材料，否则本项不得分。</w:t>
            </w:r>
          </w:p>
        </w:tc>
        <w:tc>
          <w:tcPr>
            <w:tcW w:w="515"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0-</w:t>
            </w:r>
            <w:r>
              <w:rPr>
                <w:rFonts w:hint="eastAsia" w:ascii="仿宋_GB2312" w:hAnsi="仿宋_GB2312" w:eastAsia="仿宋_GB2312" w:cs="仿宋_GB2312"/>
                <w:color w:val="auto"/>
                <w:sz w:val="21"/>
                <w:szCs w:val="21"/>
                <w:lang w:val="en-US" w:eastAsia="zh-CN"/>
              </w:rPr>
              <w:t>25</w:t>
            </w:r>
            <w:r>
              <w:rPr>
                <w:rFonts w:hint="eastAsia" w:ascii="仿宋_GB2312" w:hAnsi="仿宋_GB2312" w:eastAsia="仿宋_GB2312" w:cs="仿宋_GB2312"/>
                <w:color w:val="auto"/>
                <w:sz w:val="21"/>
                <w:szCs w:val="21"/>
              </w:rPr>
              <w:t>分</w:t>
            </w:r>
          </w:p>
        </w:tc>
        <w:tc>
          <w:tcPr>
            <w:tcW w:w="395"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69"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59"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416"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r>
      <w:tr>
        <w:tblPrEx>
          <w:tblCellMar>
            <w:top w:w="0" w:type="dxa"/>
            <w:left w:w="108" w:type="dxa"/>
            <w:bottom w:w="0" w:type="dxa"/>
            <w:right w:w="108" w:type="dxa"/>
          </w:tblCellMar>
        </w:tblPrEx>
        <w:trPr>
          <w:trHeight w:val="91" w:hRule="atLeast"/>
          <w:jc w:val="center"/>
        </w:trPr>
        <w:tc>
          <w:tcPr>
            <w:tcW w:w="552" w:type="pct"/>
            <w:vMerge w:val="continue"/>
            <w:tcBorders>
              <w:left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466"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本地化服务</w:t>
            </w:r>
          </w:p>
        </w:tc>
        <w:tc>
          <w:tcPr>
            <w:tcW w:w="1925"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textAlignment w:val="auto"/>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kern w:val="2"/>
                <w:sz w:val="21"/>
                <w:szCs w:val="21"/>
                <w:lang w:val="en-US" w:eastAsia="zh-CN" w:bidi="ar-SA"/>
              </w:rPr>
              <w:t>供应商在贵阳市区内设有办公场所或分支机构的得5分；承诺中标后再在贵阳市区设立分支机构的得3分。</w:t>
            </w:r>
          </w:p>
          <w:p>
            <w:pPr>
              <w:pStyle w:val="4"/>
              <w:keepNext w:val="0"/>
              <w:keepLines w:val="0"/>
              <w:pageBreakBefore w:val="0"/>
              <w:kinsoku/>
              <w:wordWrap/>
              <w:overflowPunct/>
              <w:topLinePunct w:val="0"/>
              <w:autoSpaceDE/>
              <w:autoSpaceDN/>
              <w:bidi w:val="0"/>
              <w:spacing w:beforeAutospacing="0" w:afterAutospacing="0" w:line="380" w:lineRule="exact"/>
              <w:ind w:left="0" w:leftChars="0" w:firstLine="0" w:firstLineChars="0"/>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kern w:val="2"/>
                <w:sz w:val="21"/>
                <w:szCs w:val="21"/>
                <w:lang w:val="en-US" w:eastAsia="zh-CN" w:bidi="ar-SA"/>
              </w:rPr>
              <w:t>（提供营业执照或房屋租赁合同复印件加盖公章）</w:t>
            </w:r>
          </w:p>
        </w:tc>
        <w:tc>
          <w:tcPr>
            <w:tcW w:w="515"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0-</w:t>
            </w:r>
            <w:r>
              <w:rPr>
                <w:rFonts w:hint="eastAsia" w:ascii="仿宋_GB2312" w:hAnsi="仿宋_GB2312" w:eastAsia="仿宋_GB2312" w:cs="仿宋_GB2312"/>
                <w:color w:val="auto"/>
                <w:sz w:val="21"/>
                <w:szCs w:val="21"/>
                <w:lang w:val="en-US" w:eastAsia="zh-CN"/>
              </w:rPr>
              <w:t>5</w:t>
            </w:r>
            <w:r>
              <w:rPr>
                <w:rFonts w:hint="eastAsia" w:ascii="仿宋_GB2312" w:hAnsi="仿宋_GB2312" w:eastAsia="仿宋_GB2312" w:cs="仿宋_GB2312"/>
                <w:color w:val="auto"/>
                <w:sz w:val="21"/>
                <w:szCs w:val="21"/>
              </w:rPr>
              <w:t>分</w:t>
            </w:r>
          </w:p>
        </w:tc>
        <w:tc>
          <w:tcPr>
            <w:tcW w:w="395"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69"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59"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416"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r>
      <w:tr>
        <w:tblPrEx>
          <w:tblCellMar>
            <w:top w:w="0" w:type="dxa"/>
            <w:left w:w="108" w:type="dxa"/>
            <w:bottom w:w="0" w:type="dxa"/>
            <w:right w:w="108" w:type="dxa"/>
          </w:tblCellMar>
        </w:tblPrEx>
        <w:trPr>
          <w:trHeight w:val="395" w:hRule="atLeast"/>
          <w:jc w:val="center"/>
        </w:trPr>
        <w:tc>
          <w:tcPr>
            <w:tcW w:w="552" w:type="pct"/>
            <w:vMerge w:val="continue"/>
            <w:tcBorders>
              <w:left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466"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spacing w:beforeAutospacing="0" w:afterAutospacing="0" w:line="380" w:lineRule="exact"/>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售后服务</w:t>
            </w:r>
          </w:p>
        </w:tc>
        <w:tc>
          <w:tcPr>
            <w:tcW w:w="1925"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lang w:val="en-US" w:eastAsia="zh-CN"/>
              </w:rPr>
              <w:t>售后服务方案、计划及保障措施</w:t>
            </w:r>
          </w:p>
        </w:tc>
        <w:tc>
          <w:tcPr>
            <w:tcW w:w="515"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0-</w:t>
            </w:r>
            <w:r>
              <w:rPr>
                <w:rFonts w:hint="eastAsia" w:ascii="仿宋_GB2312" w:hAnsi="仿宋_GB2312" w:eastAsia="仿宋_GB2312" w:cs="仿宋_GB2312"/>
                <w:color w:val="auto"/>
                <w:sz w:val="21"/>
                <w:szCs w:val="21"/>
                <w:lang w:val="en-US" w:eastAsia="zh-CN"/>
              </w:rPr>
              <w:t>4</w:t>
            </w:r>
            <w:r>
              <w:rPr>
                <w:rFonts w:hint="eastAsia" w:ascii="仿宋_GB2312" w:hAnsi="仿宋_GB2312" w:eastAsia="仿宋_GB2312" w:cs="仿宋_GB2312"/>
                <w:color w:val="auto"/>
                <w:sz w:val="21"/>
                <w:szCs w:val="21"/>
              </w:rPr>
              <w:t>分</w:t>
            </w:r>
          </w:p>
        </w:tc>
        <w:tc>
          <w:tcPr>
            <w:tcW w:w="395"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69"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59"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416"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r>
      <w:tr>
        <w:tblPrEx>
          <w:tblCellMar>
            <w:top w:w="0" w:type="dxa"/>
            <w:left w:w="108" w:type="dxa"/>
            <w:bottom w:w="0" w:type="dxa"/>
            <w:right w:w="108" w:type="dxa"/>
          </w:tblCellMar>
        </w:tblPrEx>
        <w:trPr>
          <w:trHeight w:val="395" w:hRule="atLeast"/>
          <w:jc w:val="center"/>
        </w:trPr>
        <w:tc>
          <w:tcPr>
            <w:tcW w:w="552" w:type="pct"/>
            <w:vMerge w:val="continue"/>
            <w:tcBorders>
              <w:left w:val="single" w:color="auto" w:sz="4" w:space="0"/>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466"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spacing w:beforeAutospacing="0" w:afterAutospacing="0" w:line="380" w:lineRule="exact"/>
              <w:jc w:val="both"/>
              <w:textAlignment w:val="auto"/>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kern w:val="2"/>
                <w:sz w:val="21"/>
                <w:szCs w:val="21"/>
                <w:lang w:val="en-US" w:eastAsia="zh-CN" w:bidi="ar-SA"/>
              </w:rPr>
              <w:t>企业资质</w:t>
            </w:r>
          </w:p>
        </w:tc>
        <w:tc>
          <w:tcPr>
            <w:tcW w:w="1925"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spacing w:beforeAutospacing="0" w:afterAutospacing="0" w:line="380" w:lineRule="exact"/>
              <w:jc w:val="both"/>
              <w:textAlignment w:val="auto"/>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kern w:val="2"/>
                <w:sz w:val="21"/>
                <w:szCs w:val="21"/>
                <w:lang w:val="en-US" w:eastAsia="zh-CN" w:bidi="ar-SA"/>
              </w:rPr>
              <w:t>提供获得文创设计赛事或其他奖项评分，提供一个得2分，满分6分</w:t>
            </w:r>
          </w:p>
          <w:p>
            <w:pPr>
              <w:pStyle w:val="4"/>
              <w:keepNext w:val="0"/>
              <w:keepLines w:val="0"/>
              <w:pageBreakBefore w:val="0"/>
              <w:kinsoku/>
              <w:wordWrap/>
              <w:overflowPunct/>
              <w:topLinePunct w:val="0"/>
              <w:autoSpaceDE/>
              <w:autoSpaceDN/>
              <w:bidi w:val="0"/>
              <w:spacing w:beforeAutospacing="0" w:afterAutospacing="0" w:line="380" w:lineRule="exact"/>
              <w:ind w:left="0" w:leftChars="0" w:firstLine="420" w:firstLineChars="200"/>
              <w:textAlignment w:val="auto"/>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kern w:val="2"/>
                <w:sz w:val="21"/>
                <w:szCs w:val="21"/>
                <w:lang w:val="en-US" w:eastAsia="zh-CN" w:bidi="ar-SA"/>
              </w:rPr>
              <w:t>（提供证书复印件加盖公章）</w:t>
            </w:r>
          </w:p>
        </w:tc>
        <w:tc>
          <w:tcPr>
            <w:tcW w:w="515"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0-6分</w:t>
            </w:r>
          </w:p>
        </w:tc>
        <w:tc>
          <w:tcPr>
            <w:tcW w:w="395"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69"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59"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416"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r>
      <w:tr>
        <w:tblPrEx>
          <w:tblCellMar>
            <w:top w:w="0" w:type="dxa"/>
            <w:left w:w="108" w:type="dxa"/>
            <w:bottom w:w="0" w:type="dxa"/>
            <w:right w:w="108" w:type="dxa"/>
          </w:tblCellMar>
        </w:tblPrEx>
        <w:trPr>
          <w:trHeight w:val="465" w:hRule="atLeast"/>
          <w:jc w:val="center"/>
        </w:trPr>
        <w:tc>
          <w:tcPr>
            <w:tcW w:w="2943" w:type="pct"/>
            <w:gridSpan w:val="3"/>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jc w:val="center"/>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得分</w:t>
            </w:r>
          </w:p>
        </w:tc>
        <w:tc>
          <w:tcPr>
            <w:tcW w:w="515" w:type="pct"/>
            <w:tcBorders>
              <w:top w:val="nil"/>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jc w:val="both"/>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100分</w:t>
            </w:r>
          </w:p>
        </w:tc>
        <w:tc>
          <w:tcPr>
            <w:tcW w:w="395" w:type="pct"/>
            <w:tcBorders>
              <w:top w:val="nil"/>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69" w:type="pct"/>
            <w:tcBorders>
              <w:top w:val="nil"/>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359" w:type="pct"/>
            <w:tcBorders>
              <w:top w:val="nil"/>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c>
          <w:tcPr>
            <w:tcW w:w="416"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kinsoku/>
              <w:wordWrap/>
              <w:overflowPunct/>
              <w:topLinePunct w:val="0"/>
              <w:autoSpaceDE/>
              <w:autoSpaceDN/>
              <w:bidi w:val="0"/>
              <w:adjustRightInd w:val="0"/>
              <w:snapToGrid w:val="0"/>
              <w:spacing w:beforeAutospacing="0" w:afterAutospacing="0" w:line="380" w:lineRule="exact"/>
              <w:ind w:firstLine="420" w:firstLineChars="200"/>
              <w:textAlignment w:val="auto"/>
              <w:rPr>
                <w:rFonts w:hint="eastAsia" w:ascii="仿宋_GB2312" w:hAnsi="仿宋_GB2312" w:eastAsia="仿宋_GB2312" w:cs="仿宋_GB2312"/>
                <w:color w:val="auto"/>
                <w:sz w:val="21"/>
                <w:szCs w:val="21"/>
              </w:rPr>
            </w:pPr>
          </w:p>
        </w:tc>
      </w:tr>
    </w:tbl>
    <w:p>
      <w:pPr>
        <w:keepNext w:val="0"/>
        <w:keepLines w:val="0"/>
        <w:pageBreakBefore w:val="0"/>
        <w:widowControl w:val="0"/>
        <w:kinsoku/>
        <w:wordWrap/>
        <w:overflowPunct/>
        <w:topLinePunct w:val="0"/>
        <w:autoSpaceDE/>
        <w:autoSpaceDN/>
        <w:bidi w:val="0"/>
        <w:adjustRightInd/>
        <w:spacing w:beforeAutospacing="0" w:afterAutospacing="0" w:line="600" w:lineRule="exact"/>
        <w:ind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价格分的计算：价格分采用低价优先法计算，即满足采购方要求的前提下，最低有效报价作为评审基准价，其价格分为满分。其余供应商价格分统一按照下列公式计算：</w:t>
      </w:r>
    </w:p>
    <w:p>
      <w:pPr>
        <w:keepNext w:val="0"/>
        <w:keepLines w:val="0"/>
        <w:pageBreakBefore w:val="0"/>
        <w:widowControl w:val="0"/>
        <w:kinsoku/>
        <w:wordWrap/>
        <w:overflowPunct/>
        <w:topLinePunct w:val="0"/>
        <w:autoSpaceDE/>
        <w:autoSpaceDN/>
        <w:bidi w:val="0"/>
        <w:adjustRightInd/>
        <w:spacing w:beforeAutospacing="0" w:afterAutospacing="0" w:line="600" w:lineRule="exact"/>
        <w:ind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报价得分＝（评审基准价／供应商报价）×价格权值×100</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firstLine="643" w:firstLineChars="200"/>
        <w:textAlignment w:val="auto"/>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eastAsia="zh-CN"/>
        </w:rPr>
        <w:t>九</w:t>
      </w:r>
      <w:r>
        <w:rPr>
          <w:rFonts w:hint="eastAsia" w:ascii="仿宋_GB2312" w:hAnsi="仿宋_GB2312" w:eastAsia="仿宋_GB2312" w:cs="仿宋_GB2312"/>
          <w:b/>
          <w:bCs/>
          <w:color w:val="auto"/>
          <w:sz w:val="32"/>
          <w:szCs w:val="32"/>
        </w:rPr>
        <w:t>、其他要求</w:t>
      </w:r>
      <w:r>
        <w:rPr>
          <w:rFonts w:hint="eastAsia" w:ascii="仿宋_GB2312" w:hAnsi="仿宋_GB2312" w:eastAsia="仿宋_GB2312" w:cs="仿宋_GB2312"/>
          <w:b/>
          <w:bCs/>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供应商应保证其软件产品不涉及专利和知识产权侵权等问题：本项目所涉及到的专利和专有技术的来源和使用均合法，免受第三方提出的侵犯其专利权、商标权或其他知识产权的起诉。如发生此类纠纷，由供应商承担一切责任；如因此给甲方造成损失的，供应商负责全额赔偿。</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2.供应商应对相关证明文件的真实性负责，不得提供虚假材料谋取成交。否则必须承担相应法律责任，已骗取成交的取消成交资格，对采购人造成经济损失的，赔偿相应经济损失。</w:t>
      </w: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p>
    <w:p>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_GB2312" w:hAnsi="仿宋_GB2312" w:eastAsia="仿宋_GB2312" w:cs="仿宋_GB2312"/>
          <w:color w:val="auto"/>
          <w:sz w:val="32"/>
          <w:szCs w:val="32"/>
          <w:lang w:val="en-US" w:eastAsia="zh-CN"/>
        </w:rPr>
      </w:pPr>
      <w:bookmarkStart w:id="1" w:name="_GoBack"/>
      <w:bookmarkEnd w:id="1"/>
    </w:p>
    <w:sectPr>
      <w:footerReference r:id="rId3" w:type="default"/>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8998B"/>
    <w:multiLevelType w:val="singleLevel"/>
    <w:tmpl w:val="0D98998B"/>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0975EF"/>
    <w:rsid w:val="110975EF"/>
    <w:rsid w:val="34405A4D"/>
    <w:rsid w:val="37D4319D"/>
    <w:rsid w:val="4CB265C1"/>
    <w:rsid w:val="4DA10BBD"/>
    <w:rsid w:val="7E684C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1"/>
    <w:pPr>
      <w:spacing w:after="120"/>
    </w:pPr>
    <w:rPr>
      <w:rFonts w:ascii="Calibri" w:hAnsi="Calibri" w:eastAsia="宋体" w:cs="Times New Roman"/>
      <w:szCs w:val="22"/>
    </w:rPr>
  </w:style>
  <w:style w:type="paragraph" w:styleId="4">
    <w:name w:val="Normal Indent"/>
    <w:basedOn w:val="1"/>
    <w:qFormat/>
    <w:uiPriority w:val="99"/>
    <w:pPr>
      <w:ind w:firstLine="420" w:firstLineChars="200"/>
    </w:pPr>
    <w:rPr>
      <w:rFonts w:asciiTheme="minorHAnsi" w:hAnsiTheme="minorHAnsi" w:cstheme="minorBidi"/>
      <w:kern w:val="2"/>
      <w:sz w:val="21"/>
    </w:rPr>
  </w:style>
  <w:style w:type="paragraph" w:styleId="5">
    <w:name w:val="Plain Text"/>
    <w:basedOn w:val="1"/>
    <w:qFormat/>
    <w:uiPriority w:val="99"/>
    <w:rPr>
      <w:rFonts w:ascii="宋体" w:hAnsi="Courier New" w:cstheme="minorBidi"/>
      <w:kern w:val="2"/>
      <w:sz w:val="21"/>
      <w:szCs w:val="22"/>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qFormat/>
    <w:uiPriority w:val="99"/>
    <w:rPr>
      <w:rFonts w:ascii="Calibri" w:hAnsi="Calibri" w:eastAsia="宋体" w:cs="Times New Roman"/>
      <w:b/>
      <w:bCs/>
    </w:rPr>
  </w:style>
  <w:style w:type="character" w:customStyle="1" w:styleId="12">
    <w:name w:val="NormalCharacter"/>
    <w:link w:val="1"/>
    <w:semiHidden/>
    <w:qFormat/>
    <w:uiPriority w:val="0"/>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2020-09-21T03:54:00Z</dcterms:created>
  <dc:creator>Avril_yx</dc:creator>
  <cp:lastModifiedBy>pc</cp:lastModifiedBy>
  <dcterms:modified xsi:type="dcterms:W3CDTF">2020-09-22T08:46:39Z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ies>
</file>